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8055" w14:textId="77777777" w:rsidR="0032150F" w:rsidRPr="00DE177E" w:rsidRDefault="00385EF9" w:rsidP="0032150F">
      <w:pPr>
        <w:pStyle w:val="Title"/>
        <w:spacing w:before="0"/>
      </w:pPr>
      <w:r>
        <w:rPr>
          <w:noProof/>
        </w:rPr>
        <mc:AlternateContent>
          <mc:Choice Requires="wps">
            <w:drawing>
              <wp:anchor distT="0" distB="0" distL="114300" distR="114300" simplePos="0" relativeHeight="251661312" behindDoc="0" locked="0" layoutInCell="1" allowOverlap="1" wp14:anchorId="1B0EBA83" wp14:editId="4F6D79F7">
                <wp:simplePos x="0" y="0"/>
                <wp:positionH relativeFrom="column">
                  <wp:posOffset>3818890</wp:posOffset>
                </wp:positionH>
                <wp:positionV relativeFrom="page">
                  <wp:posOffset>390525</wp:posOffset>
                </wp:positionV>
                <wp:extent cx="2543175" cy="1047750"/>
                <wp:effectExtent l="0" t="0" r="28575" b="1905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047750"/>
                        </a:xfrm>
                        <a:prstGeom prst="rect">
                          <a:avLst/>
                        </a:prstGeom>
                        <a:noFill/>
                        <a:ln w="9525" cap="flat" cmpd="sng" algn="ctr">
                          <a:solidFill>
                            <a:sysClr val="windowText" lastClr="000000"/>
                          </a:solidFill>
                          <a:prstDash val="solid"/>
                          <a:miter lim="800000"/>
                        </a:ln>
                        <a:effectLst/>
                      </wps:spPr>
                      <wps:txbx>
                        <w:txbxContent>
                          <w:p w14:paraId="7456827F" w14:textId="2CFFE0F5" w:rsidR="00385EF9" w:rsidRPr="00E616CF" w:rsidRDefault="00385EF9" w:rsidP="00385EF9">
                            <w:pPr>
                              <w:spacing w:after="0"/>
                              <w:rPr>
                                <w:rFonts w:ascii="Times New Roman" w:hAnsi="Times New Roman"/>
                                <w:color w:val="000000"/>
                                <w:sz w:val="20"/>
                                <w:szCs w:val="20"/>
                              </w:rPr>
                            </w:pPr>
                            <w:r w:rsidRPr="00E616CF">
                              <w:rPr>
                                <w:rFonts w:ascii="Times New Roman" w:hAnsi="Times New Roman"/>
                                <w:color w:val="000000"/>
                                <w:sz w:val="20"/>
                                <w:szCs w:val="20"/>
                              </w:rPr>
                              <w:t>Approved:</w:t>
                            </w:r>
                            <w:r w:rsidRPr="008F3B80">
                              <w:rPr>
                                <w:rFonts w:ascii="Times New Roman" w:hAnsi="Times New Roman"/>
                                <w:noProof/>
                              </w:rPr>
                              <w:t xml:space="preserve"> </w:t>
                            </w:r>
                            <w:r w:rsidR="00737C3B">
                              <w:rPr>
                                <w:rFonts w:ascii="Times New Roman" w:hAnsi="Times New Roman"/>
                                <w:noProof/>
                                <w:color w:val="000000"/>
                                <w:sz w:val="20"/>
                                <w:szCs w:val="20"/>
                              </w:rPr>
                              <w:drawing>
                                <wp:inline distT="0" distB="0" distL="0" distR="0" wp14:anchorId="6F65E291" wp14:editId="35ECDA4A">
                                  <wp:extent cx="1514475" cy="579120"/>
                                  <wp:effectExtent l="0" t="0" r="9525" b="0"/>
                                  <wp:docPr id="113219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15"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14475" cy="579120"/>
                                          </a:xfrm>
                                          <a:prstGeom prst="rect">
                                            <a:avLst/>
                                          </a:prstGeom>
                                        </pic:spPr>
                                      </pic:pic>
                                    </a:graphicData>
                                  </a:graphic>
                                </wp:inline>
                              </w:drawing>
                            </w:r>
                          </w:p>
                          <w:p w14:paraId="35D933CE" w14:textId="77777777" w:rsidR="00385EF9" w:rsidRPr="00E616CF" w:rsidRDefault="00385EF9" w:rsidP="00385EF9">
                            <w:pPr>
                              <w:spacing w:after="0"/>
                              <w:rPr>
                                <w:rFonts w:ascii="Times New Roman" w:hAnsi="Times New Roman"/>
                                <w:color w:val="000000"/>
                                <w:sz w:val="20"/>
                                <w:szCs w:val="20"/>
                              </w:rPr>
                            </w:pPr>
                            <w:r w:rsidRPr="00E616CF">
                              <w:rPr>
                                <w:rFonts w:ascii="Times New Roman" w:hAnsi="Times New Roman"/>
                                <w:color w:val="000000"/>
                                <w:sz w:val="20"/>
                                <w:szCs w:val="20"/>
                              </w:rPr>
                              <w:t>Date:</w:t>
                            </w:r>
                            <w:r>
                              <w:rPr>
                                <w:rFonts w:ascii="Times New Roman" w:hAnsi="Times New Roman"/>
                                <w:color w:val="000000"/>
                                <w:sz w:val="20"/>
                                <w:szCs w:val="20"/>
                              </w:rPr>
                              <w:t xml:space="preserve"> July 2015</w:t>
                            </w:r>
                          </w:p>
                          <w:p w14:paraId="68A52E70" w14:textId="2D354D8E" w:rsidR="00385EF9" w:rsidRPr="00E616CF" w:rsidRDefault="00385EF9" w:rsidP="00385EF9">
                            <w:pPr>
                              <w:spacing w:after="0"/>
                              <w:rPr>
                                <w:rFonts w:ascii="Times New Roman" w:hAnsi="Times New Roman"/>
                                <w:color w:val="000000"/>
                                <w:sz w:val="20"/>
                                <w:szCs w:val="20"/>
                              </w:rPr>
                            </w:pPr>
                            <w:r w:rsidRPr="00E616CF">
                              <w:rPr>
                                <w:rFonts w:ascii="Times New Roman" w:hAnsi="Times New Roman"/>
                                <w:color w:val="000000"/>
                                <w:sz w:val="20"/>
                                <w:szCs w:val="20"/>
                              </w:rPr>
                              <w:t xml:space="preserve">Reviewed: </w:t>
                            </w:r>
                            <w:r w:rsidR="00843945">
                              <w:rPr>
                                <w:rFonts w:ascii="Times New Roman" w:hAnsi="Times New Roman"/>
                                <w:color w:val="000000"/>
                                <w:sz w:val="20"/>
                                <w:szCs w:val="20"/>
                              </w:rPr>
                              <w:t>August</w:t>
                            </w:r>
                            <w:r>
                              <w:rPr>
                                <w:rFonts w:ascii="Times New Roman" w:hAnsi="Times New Roman"/>
                                <w:color w:val="000000"/>
                                <w:sz w:val="20"/>
                                <w:szCs w:val="20"/>
                              </w:rPr>
                              <w:t xml:space="preserve"> 202</w:t>
                            </w:r>
                            <w:r w:rsidR="00843945">
                              <w:rPr>
                                <w:rFonts w:ascii="Times New Roman" w:hAnsi="Times New Roman"/>
                                <w:color w:val="000000"/>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EBA83" id="Rectangle 4" o:spid="_x0000_s1026" style="position:absolute;left:0;text-align:left;margin-left:300.7pt;margin-top:30.75pt;width:200.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" filled="f" strokecolor="windowText">
                <v:path arrowok="t"/>
                <v:textbox>
                  <w:txbxContent>
                    <w:p w14:paraId="7456827F" w14:textId="2CFFE0F5" w:rsidR="00385EF9" w:rsidRPr="00E616CF" w:rsidRDefault="00385EF9" w:rsidP="00385EF9">
                      <w:pPr>
                        <w:spacing w:after="0"/>
                        <w:rPr>
                          <w:rFonts w:ascii="Times New Roman" w:hAnsi="Times New Roman"/>
                          <w:color w:val="000000"/>
                          <w:sz w:val="20"/>
                          <w:szCs w:val="20"/>
                        </w:rPr>
                      </w:pPr>
                      <w:r w:rsidRPr="00E616CF">
                        <w:rPr>
                          <w:rFonts w:ascii="Times New Roman" w:hAnsi="Times New Roman"/>
                          <w:color w:val="000000"/>
                          <w:sz w:val="20"/>
                          <w:szCs w:val="20"/>
                        </w:rPr>
                        <w:t>Approved:</w:t>
                      </w:r>
                      <w:r w:rsidRPr="008F3B80">
                        <w:rPr>
                          <w:rFonts w:ascii="Times New Roman" w:hAnsi="Times New Roman"/>
                          <w:noProof/>
                        </w:rPr>
                        <w:t xml:space="preserve"> </w:t>
                      </w:r>
                      <w:r w:rsidR="00737C3B">
                        <w:rPr>
                          <w:rFonts w:ascii="Times New Roman" w:hAnsi="Times New Roman"/>
                          <w:noProof/>
                          <w:color w:val="000000"/>
                          <w:sz w:val="20"/>
                          <w:szCs w:val="20"/>
                        </w:rPr>
                        <w:drawing>
                          <wp:inline distT="0" distB="0" distL="0" distR="0" wp14:anchorId="6F65E291" wp14:editId="35ECDA4A">
                            <wp:extent cx="1514475" cy="579120"/>
                            <wp:effectExtent l="0" t="0" r="9525" b="0"/>
                            <wp:docPr id="113219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15"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14475" cy="579120"/>
                                    </a:xfrm>
                                    <a:prstGeom prst="rect">
                                      <a:avLst/>
                                    </a:prstGeom>
                                  </pic:spPr>
                                </pic:pic>
                              </a:graphicData>
                            </a:graphic>
                          </wp:inline>
                        </w:drawing>
                      </w:r>
                    </w:p>
                    <w:p w14:paraId="35D933CE" w14:textId="77777777" w:rsidR="00385EF9" w:rsidRPr="00E616CF" w:rsidRDefault="00385EF9" w:rsidP="00385EF9">
                      <w:pPr>
                        <w:spacing w:after="0"/>
                        <w:rPr>
                          <w:rFonts w:ascii="Times New Roman" w:hAnsi="Times New Roman"/>
                          <w:color w:val="000000"/>
                          <w:sz w:val="20"/>
                          <w:szCs w:val="20"/>
                        </w:rPr>
                      </w:pPr>
                      <w:r w:rsidRPr="00E616CF">
                        <w:rPr>
                          <w:rFonts w:ascii="Times New Roman" w:hAnsi="Times New Roman"/>
                          <w:color w:val="000000"/>
                          <w:sz w:val="20"/>
                          <w:szCs w:val="20"/>
                        </w:rPr>
                        <w:t>Date:</w:t>
                      </w:r>
                      <w:r>
                        <w:rPr>
                          <w:rFonts w:ascii="Times New Roman" w:hAnsi="Times New Roman"/>
                          <w:color w:val="000000"/>
                          <w:sz w:val="20"/>
                          <w:szCs w:val="20"/>
                        </w:rPr>
                        <w:t xml:space="preserve"> July 2015</w:t>
                      </w:r>
                    </w:p>
                    <w:p w14:paraId="68A52E70" w14:textId="2D354D8E" w:rsidR="00385EF9" w:rsidRPr="00E616CF" w:rsidRDefault="00385EF9" w:rsidP="00385EF9">
                      <w:pPr>
                        <w:spacing w:after="0"/>
                        <w:rPr>
                          <w:rFonts w:ascii="Times New Roman" w:hAnsi="Times New Roman"/>
                          <w:color w:val="000000"/>
                          <w:sz w:val="20"/>
                          <w:szCs w:val="20"/>
                        </w:rPr>
                      </w:pPr>
                      <w:r w:rsidRPr="00E616CF">
                        <w:rPr>
                          <w:rFonts w:ascii="Times New Roman" w:hAnsi="Times New Roman"/>
                          <w:color w:val="000000"/>
                          <w:sz w:val="20"/>
                          <w:szCs w:val="20"/>
                        </w:rPr>
                        <w:t xml:space="preserve">Reviewed: </w:t>
                      </w:r>
                      <w:r w:rsidR="00843945">
                        <w:rPr>
                          <w:rFonts w:ascii="Times New Roman" w:hAnsi="Times New Roman"/>
                          <w:color w:val="000000"/>
                          <w:sz w:val="20"/>
                          <w:szCs w:val="20"/>
                        </w:rPr>
                        <w:t>August</w:t>
                      </w:r>
                      <w:r>
                        <w:rPr>
                          <w:rFonts w:ascii="Times New Roman" w:hAnsi="Times New Roman"/>
                          <w:color w:val="000000"/>
                          <w:sz w:val="20"/>
                          <w:szCs w:val="20"/>
                        </w:rPr>
                        <w:t xml:space="preserve"> 202</w:t>
                      </w:r>
                      <w:r w:rsidR="00843945">
                        <w:rPr>
                          <w:rFonts w:ascii="Times New Roman" w:hAnsi="Times New Roman"/>
                          <w:color w:val="000000"/>
                          <w:sz w:val="20"/>
                          <w:szCs w:val="20"/>
                        </w:rPr>
                        <w:t>3</w:t>
                      </w:r>
                    </w:p>
                  </w:txbxContent>
                </v:textbox>
                <w10:wrap type="square" anchory="page"/>
              </v:rect>
            </w:pict>
          </mc:Fallback>
        </mc:AlternateContent>
      </w:r>
      <w:r w:rsidR="0032150F">
        <w:t xml:space="preserve">Responding to and Reporting </w:t>
      </w:r>
      <w:r w:rsidR="0032150F" w:rsidRPr="00DE177E">
        <w:t>Incidents Policy</w:t>
      </w:r>
    </w:p>
    <w:p w14:paraId="7A08FD3D" w14:textId="77777777" w:rsidR="0032150F" w:rsidRPr="00DE177E" w:rsidRDefault="0032150F" w:rsidP="0032150F">
      <w:pPr>
        <w:pStyle w:val="BodyText"/>
        <w:rPr>
          <w:b/>
          <w:i/>
          <w:sz w:val="28"/>
        </w:rPr>
      </w:pPr>
    </w:p>
    <w:p w14:paraId="45E80E7D" w14:textId="77777777" w:rsidR="0032150F" w:rsidRPr="00DE177E" w:rsidRDefault="0032150F" w:rsidP="0032150F">
      <w:pPr>
        <w:pStyle w:val="Heading1"/>
        <w:numPr>
          <w:ilvl w:val="0"/>
          <w:numId w:val="2"/>
        </w:numPr>
        <w:tabs>
          <w:tab w:val="left" w:pos="819"/>
          <w:tab w:val="left" w:pos="820"/>
        </w:tabs>
      </w:pPr>
      <w:r w:rsidRPr="00DE177E">
        <w:t>Policy</w:t>
      </w:r>
    </w:p>
    <w:p w14:paraId="728098AA" w14:textId="77777777" w:rsidR="0032150F" w:rsidRPr="00DE177E" w:rsidRDefault="0032150F" w:rsidP="0032150F">
      <w:pPr>
        <w:pStyle w:val="BodyText"/>
        <w:rPr>
          <w:b/>
        </w:rPr>
      </w:pPr>
    </w:p>
    <w:p w14:paraId="4A6DA7FF" w14:textId="77777777" w:rsidR="0032150F" w:rsidRPr="00DE177E" w:rsidRDefault="0032150F" w:rsidP="0032150F">
      <w:pPr>
        <w:ind w:left="820"/>
        <w:rPr>
          <w:rFonts w:ascii="Times New Roman" w:hAnsi="Times New Roman" w:cs="Times New Roman"/>
        </w:rPr>
      </w:pPr>
      <w:r w:rsidRPr="00DE177E">
        <w:rPr>
          <w:rFonts w:ascii="Times New Roman" w:hAnsi="Times New Roman" w:cs="Times New Roman"/>
        </w:rPr>
        <w:t xml:space="preserve">The safety and wellbeing of juveniles and </w:t>
      </w:r>
      <w:r w:rsidR="00DA1CDD">
        <w:rPr>
          <w:rFonts w:ascii="Times New Roman" w:hAnsi="Times New Roman" w:cs="Times New Roman"/>
        </w:rPr>
        <w:t xml:space="preserve">adult </w:t>
      </w:r>
      <w:r w:rsidRPr="00DE177E">
        <w:rPr>
          <w:rFonts w:ascii="Times New Roman" w:hAnsi="Times New Roman" w:cs="Times New Roman"/>
        </w:rPr>
        <w:t>justice-involved individuals, facility/service staff, and probation staff are essential to the rehabilitation process and public safety. This policy serves to provide direction to the probation system for reporting death, serious injury, and other significant incidents experienced by justice- involved juveniles and individuals. The policy seeks to ensure timely and appropriate response to a variety of incidents that may occur while juvenile or and individual is under probation supervision in the community and/or placement. The direction in this policy provides the Administrative Office of the Courts and Probation, Chief Probation Officers, and designated district management staff the steps to work collaboratively with all necessary stakeholders and ensure adequate response, in turn minimizing harm.</w:t>
      </w:r>
      <w:r>
        <w:rPr>
          <w:rFonts w:ascii="Times New Roman" w:hAnsi="Times New Roman" w:cs="Times New Roman"/>
        </w:rPr>
        <w:t xml:space="preserve"> </w:t>
      </w:r>
    </w:p>
    <w:p w14:paraId="6BD2AD63" w14:textId="77777777" w:rsidR="0032150F" w:rsidRPr="00DE177E" w:rsidRDefault="0032150F" w:rsidP="0032150F">
      <w:pPr>
        <w:pStyle w:val="BodyText"/>
      </w:pPr>
    </w:p>
    <w:p w14:paraId="0C52A14F" w14:textId="77777777" w:rsidR="0032150F" w:rsidRPr="00DE177E" w:rsidRDefault="0032150F" w:rsidP="0032150F">
      <w:pPr>
        <w:pStyle w:val="Heading1"/>
        <w:numPr>
          <w:ilvl w:val="0"/>
          <w:numId w:val="2"/>
        </w:numPr>
        <w:tabs>
          <w:tab w:val="left" w:pos="819"/>
          <w:tab w:val="left" w:pos="820"/>
        </w:tabs>
      </w:pPr>
      <w:r w:rsidRPr="00DE177E">
        <w:t>Purpose</w:t>
      </w:r>
    </w:p>
    <w:p w14:paraId="59030E5E" w14:textId="77777777" w:rsidR="0032150F" w:rsidRPr="00DE177E" w:rsidRDefault="0032150F" w:rsidP="0032150F">
      <w:pPr>
        <w:pStyle w:val="BodyText"/>
        <w:rPr>
          <w:b/>
        </w:rPr>
      </w:pPr>
    </w:p>
    <w:p w14:paraId="654B0E9A" w14:textId="77777777" w:rsidR="0032150F" w:rsidRPr="00486A75" w:rsidRDefault="0032150F" w:rsidP="0032150F">
      <w:pPr>
        <w:pStyle w:val="BodyText"/>
        <w:ind w:left="820" w:right="1432"/>
      </w:pPr>
      <w:r w:rsidRPr="00DE177E">
        <w:t xml:space="preserve">To provide an avenue for probation staff to report death, serious injury, sexual abuse, or other significant incidents to the Administrative Office and to meet the statutory requirements of reporting to the Office of Inspector General of Child Welfare (OIG) relating to justice-involved </w:t>
      </w:r>
      <w:r w:rsidRPr="00486A75">
        <w:t xml:space="preserve">juveniles. If an incident involves a juvenile or a justice-involved individual along with a critical event involving an employee’s serious injury, death, or Use of Force, the Administrative Office of the Court and Probation’s Critical Incident Policy will also apply.  </w:t>
      </w:r>
    </w:p>
    <w:p w14:paraId="0B7C1DB7" w14:textId="77777777" w:rsidR="0032150F" w:rsidRPr="00486A75" w:rsidRDefault="0032150F" w:rsidP="0032150F">
      <w:pPr>
        <w:pStyle w:val="BodyText"/>
      </w:pPr>
    </w:p>
    <w:p w14:paraId="338C9AF2" w14:textId="77777777" w:rsidR="0032150F" w:rsidRPr="00486A75" w:rsidRDefault="0032150F" w:rsidP="0032150F">
      <w:pPr>
        <w:pStyle w:val="Heading1"/>
        <w:numPr>
          <w:ilvl w:val="0"/>
          <w:numId w:val="2"/>
        </w:numPr>
        <w:tabs>
          <w:tab w:val="left" w:pos="819"/>
          <w:tab w:val="left" w:pos="820"/>
        </w:tabs>
      </w:pPr>
      <w:r w:rsidRPr="00486A75">
        <w:t>Reference</w:t>
      </w:r>
    </w:p>
    <w:p w14:paraId="342108DC" w14:textId="77777777" w:rsidR="0032150F" w:rsidRPr="00486A75" w:rsidRDefault="0032150F" w:rsidP="0032150F">
      <w:pPr>
        <w:pStyle w:val="BodyText"/>
        <w:rPr>
          <w:b/>
        </w:rPr>
      </w:pPr>
    </w:p>
    <w:p w14:paraId="725DBCAE" w14:textId="77777777" w:rsidR="0032150F" w:rsidRDefault="0032150F" w:rsidP="00E231A9">
      <w:pPr>
        <w:pStyle w:val="ListParagraph"/>
        <w:ind w:left="720" w:firstLine="0"/>
      </w:pPr>
      <w:r w:rsidRPr="0032150F">
        <w:t>Neb. Rev. Stat.</w:t>
      </w:r>
      <w:r w:rsidRPr="0032150F">
        <w:rPr>
          <w:spacing w:val="-4"/>
        </w:rPr>
        <w:t xml:space="preserve"> </w:t>
      </w:r>
      <w:r w:rsidRPr="0032150F">
        <w:t>§43-4318</w:t>
      </w:r>
    </w:p>
    <w:p w14:paraId="111C5A79" w14:textId="77777777" w:rsidR="0032150F" w:rsidRPr="0032150F" w:rsidRDefault="0032150F" w:rsidP="00E231A9">
      <w:pPr>
        <w:pStyle w:val="ListParagraph"/>
        <w:ind w:left="720" w:firstLine="0"/>
      </w:pPr>
    </w:p>
    <w:p w14:paraId="07C77FCB" w14:textId="77777777" w:rsidR="0032150F" w:rsidRDefault="0032150F" w:rsidP="00E231A9">
      <w:pPr>
        <w:pStyle w:val="ListParagraph"/>
        <w:ind w:left="720" w:firstLine="0"/>
      </w:pPr>
      <w:r w:rsidRPr="0032150F">
        <w:t>Neb. Rev. Stat.</w:t>
      </w:r>
      <w:r w:rsidRPr="0032150F">
        <w:rPr>
          <w:spacing w:val="-4"/>
        </w:rPr>
        <w:t xml:space="preserve"> </w:t>
      </w:r>
      <w:r w:rsidRPr="0032150F">
        <w:t>§28-711</w:t>
      </w:r>
    </w:p>
    <w:p w14:paraId="0B7E4C31" w14:textId="77777777" w:rsidR="00B55EEC" w:rsidRDefault="00B55EEC" w:rsidP="00E231A9">
      <w:pPr>
        <w:pStyle w:val="ListParagraph"/>
        <w:ind w:left="720"/>
      </w:pPr>
    </w:p>
    <w:p w14:paraId="073DA52F" w14:textId="77777777" w:rsidR="00B55EEC" w:rsidRDefault="00B55EEC" w:rsidP="00E231A9">
      <w:pPr>
        <w:pStyle w:val="ListParagraph"/>
        <w:ind w:left="720" w:firstLine="0"/>
      </w:pPr>
      <w:r>
        <w:t>Neb. Rev. Stat. §28-372</w:t>
      </w:r>
    </w:p>
    <w:p w14:paraId="62F6A416" w14:textId="77777777" w:rsidR="0032150F" w:rsidRPr="0032150F" w:rsidRDefault="0032150F" w:rsidP="00E231A9">
      <w:pPr>
        <w:spacing w:after="0"/>
        <w:ind w:left="720"/>
      </w:pPr>
    </w:p>
    <w:p w14:paraId="2B01B9AF" w14:textId="77777777" w:rsidR="0032150F" w:rsidRPr="0032150F" w:rsidRDefault="0032150F" w:rsidP="00E231A9">
      <w:pPr>
        <w:pStyle w:val="ListParagraph"/>
        <w:ind w:left="720" w:firstLine="0"/>
      </w:pPr>
      <w:r w:rsidRPr="0032150F">
        <w:t>Critical Incident Policy</w:t>
      </w:r>
    </w:p>
    <w:p w14:paraId="7C3D324E" w14:textId="77777777" w:rsidR="0032150F" w:rsidRPr="00DE177E" w:rsidRDefault="0032150F" w:rsidP="0032150F">
      <w:pPr>
        <w:pStyle w:val="ListParagraph"/>
        <w:tabs>
          <w:tab w:val="left" w:pos="1539"/>
          <w:tab w:val="left" w:pos="1540"/>
        </w:tabs>
        <w:ind w:left="1540" w:firstLine="0"/>
      </w:pPr>
    </w:p>
    <w:p w14:paraId="52BFE254" w14:textId="77777777" w:rsidR="0032150F" w:rsidRDefault="0032150F" w:rsidP="0032150F">
      <w:pPr>
        <w:pStyle w:val="ListParagraph"/>
        <w:numPr>
          <w:ilvl w:val="0"/>
          <w:numId w:val="2"/>
        </w:numPr>
        <w:tabs>
          <w:tab w:val="left" w:pos="1539"/>
          <w:tab w:val="left" w:pos="1540"/>
        </w:tabs>
        <w:ind w:left="720"/>
        <w:rPr>
          <w:b/>
        </w:rPr>
      </w:pPr>
      <w:r>
        <w:rPr>
          <w:b/>
        </w:rPr>
        <w:t>Procedure</w:t>
      </w:r>
    </w:p>
    <w:p w14:paraId="265AA46E" w14:textId="77777777" w:rsidR="0032150F" w:rsidRDefault="0032150F" w:rsidP="0032150F">
      <w:pPr>
        <w:pStyle w:val="ListParagraph"/>
        <w:tabs>
          <w:tab w:val="left" w:pos="1539"/>
          <w:tab w:val="left" w:pos="1540"/>
        </w:tabs>
        <w:ind w:left="820" w:firstLine="0"/>
        <w:rPr>
          <w:b/>
        </w:rPr>
      </w:pPr>
    </w:p>
    <w:p w14:paraId="7E62E9B9" w14:textId="77777777" w:rsidR="0032150F" w:rsidRDefault="0032150F" w:rsidP="0032150F">
      <w:pPr>
        <w:pStyle w:val="ListParagraph"/>
        <w:numPr>
          <w:ilvl w:val="0"/>
          <w:numId w:val="3"/>
        </w:numPr>
      </w:pPr>
      <w:r w:rsidRPr="0032150F">
        <w:t>Mandatory Reporting</w:t>
      </w:r>
      <w:r>
        <w:t xml:space="preserve"> - </w:t>
      </w:r>
      <w:r w:rsidRPr="0032150F">
        <w:t xml:space="preserve">Reporting suspected child abuse or neglect. </w:t>
      </w:r>
    </w:p>
    <w:p w14:paraId="33AD4F46" w14:textId="77777777" w:rsidR="0032150F" w:rsidRPr="0032150F" w:rsidRDefault="0032150F" w:rsidP="0032150F">
      <w:pPr>
        <w:pStyle w:val="ListParagraph"/>
        <w:ind w:left="1440" w:firstLine="0"/>
      </w:pPr>
    </w:p>
    <w:p w14:paraId="1AC70E05" w14:textId="77777777" w:rsidR="0032150F" w:rsidRDefault="0032150F" w:rsidP="0032150F">
      <w:pPr>
        <w:pStyle w:val="ListParagraph"/>
        <w:numPr>
          <w:ilvl w:val="1"/>
          <w:numId w:val="3"/>
        </w:numPr>
      </w:pPr>
      <w:r w:rsidRPr="0032150F">
        <w:t xml:space="preserve">When any probation employee has reasonable cause to believe that a child has been subjected to child abuse or neglect or observes such child being subjected to conditions or circumstances which reasonably would result in child abuse or neglect, the employee shall report such incident or cause a report of child abuse or neglect to be made to the proper law enforcement agency or the Nebraska Department of Health and Human Services hotline (800 652-1999) as outlined in Neb. Rev. Stat. §28-711. </w:t>
      </w:r>
    </w:p>
    <w:p w14:paraId="61718445" w14:textId="77777777" w:rsidR="0032150F" w:rsidRPr="0032150F" w:rsidRDefault="0032150F" w:rsidP="0032150F">
      <w:pPr>
        <w:pStyle w:val="ListParagraph"/>
        <w:ind w:left="2160" w:firstLine="0"/>
      </w:pPr>
    </w:p>
    <w:p w14:paraId="5AEC3C95" w14:textId="77777777" w:rsidR="0032150F" w:rsidRDefault="0032150F" w:rsidP="0032150F">
      <w:pPr>
        <w:pStyle w:val="ListParagraph"/>
        <w:numPr>
          <w:ilvl w:val="0"/>
          <w:numId w:val="3"/>
        </w:numPr>
      </w:pPr>
      <w:r w:rsidRPr="0032150F">
        <w:t>Juvenile Procedure</w:t>
      </w:r>
    </w:p>
    <w:p w14:paraId="33DD0116" w14:textId="77777777" w:rsidR="0032150F" w:rsidRPr="0032150F" w:rsidRDefault="0032150F" w:rsidP="0032150F">
      <w:pPr>
        <w:pStyle w:val="ListParagraph"/>
        <w:ind w:left="1440" w:firstLine="0"/>
      </w:pPr>
    </w:p>
    <w:p w14:paraId="407F847B" w14:textId="77777777" w:rsidR="0032150F" w:rsidRDefault="0032150F" w:rsidP="0032150F">
      <w:pPr>
        <w:pStyle w:val="ListParagraph"/>
        <w:numPr>
          <w:ilvl w:val="1"/>
          <w:numId w:val="3"/>
        </w:numPr>
      </w:pPr>
      <w:r w:rsidRPr="0032150F">
        <w:lastRenderedPageBreak/>
        <w:t>Definitions:</w:t>
      </w:r>
    </w:p>
    <w:p w14:paraId="770A3434" w14:textId="77777777" w:rsidR="0032150F" w:rsidRPr="0032150F" w:rsidRDefault="0032150F" w:rsidP="0032150F">
      <w:pPr>
        <w:pStyle w:val="ListParagraph"/>
        <w:ind w:left="2160" w:firstLine="0"/>
      </w:pPr>
    </w:p>
    <w:p w14:paraId="5D81A0B5" w14:textId="77777777" w:rsidR="0032150F" w:rsidRDefault="0032150F" w:rsidP="0032150F">
      <w:pPr>
        <w:pStyle w:val="ListParagraph"/>
        <w:numPr>
          <w:ilvl w:val="2"/>
          <w:numId w:val="3"/>
        </w:numPr>
      </w:pPr>
      <w:r w:rsidRPr="0032150F">
        <w:t>Death or Serious Injury: Neb. Rev. Stat. §43-4318 (2) defines serious injury as “an injury or illness caused by suspected abuse, neglect or maltreatment which leaves the child in critical or serious condition.”</w:t>
      </w:r>
    </w:p>
    <w:p w14:paraId="50FF164C" w14:textId="77777777" w:rsidR="0032150F" w:rsidRPr="0032150F" w:rsidRDefault="0032150F" w:rsidP="0032150F">
      <w:pPr>
        <w:pStyle w:val="ListParagraph"/>
        <w:ind w:left="2880" w:firstLine="0"/>
      </w:pPr>
    </w:p>
    <w:p w14:paraId="65073394" w14:textId="77777777" w:rsidR="0032150F" w:rsidRDefault="0032150F" w:rsidP="0032150F">
      <w:pPr>
        <w:pStyle w:val="ListParagraph"/>
        <w:numPr>
          <w:ilvl w:val="2"/>
          <w:numId w:val="3"/>
        </w:numPr>
      </w:pPr>
      <w:r w:rsidRPr="0032150F">
        <w:t>Sexual Abuse: Allegations of sexual abuse of a youth on probation, in a detention facility, and/or residential placement.</w:t>
      </w:r>
    </w:p>
    <w:p w14:paraId="6052AA07" w14:textId="77777777" w:rsidR="0032150F" w:rsidRPr="0032150F" w:rsidRDefault="0032150F" w:rsidP="0032150F">
      <w:pPr>
        <w:spacing w:after="0"/>
      </w:pPr>
    </w:p>
    <w:p w14:paraId="5E51B2A5" w14:textId="77777777" w:rsidR="0032150F" w:rsidRDefault="0032150F" w:rsidP="0032150F">
      <w:pPr>
        <w:pStyle w:val="ListParagraph"/>
        <w:numPr>
          <w:ilvl w:val="2"/>
          <w:numId w:val="3"/>
        </w:numPr>
      </w:pPr>
      <w:r w:rsidRPr="0032150F">
        <w:t>Significant Incident: An actual or alleged event or situation that creates a significant risk of substantial or serious harm to the physical or mental safety or well-being of a justice-involved youth</w:t>
      </w:r>
      <w:r w:rsidR="00DA1CDD">
        <w:t xml:space="preserve">, as a victim or </w:t>
      </w:r>
      <w:r w:rsidR="00B55EEC">
        <w:t>responsible party</w:t>
      </w:r>
      <w:r w:rsidRPr="0032150F">
        <w:t>. Examples of such incidents may include, but are not limited to:</w:t>
      </w:r>
    </w:p>
    <w:p w14:paraId="7F3F578D" w14:textId="77777777" w:rsidR="0032150F" w:rsidRPr="0032150F" w:rsidRDefault="0032150F" w:rsidP="0032150F">
      <w:pPr>
        <w:spacing w:after="0"/>
      </w:pPr>
    </w:p>
    <w:p w14:paraId="3C0EC6D7" w14:textId="77777777" w:rsidR="0032150F" w:rsidRPr="0032150F" w:rsidRDefault="0032150F" w:rsidP="0032150F">
      <w:pPr>
        <w:pStyle w:val="ListParagraph"/>
        <w:numPr>
          <w:ilvl w:val="3"/>
          <w:numId w:val="3"/>
        </w:numPr>
      </w:pPr>
      <w:r w:rsidRPr="0032150F">
        <w:t>Juvenile is involved in an event such as an illness, accidental injury, serious assault, suicide attempt, etc., that requires hospitalization and/or significant medical attention;</w:t>
      </w:r>
    </w:p>
    <w:p w14:paraId="1DEF0172" w14:textId="77777777" w:rsidR="0032150F" w:rsidRPr="0032150F" w:rsidRDefault="0032150F" w:rsidP="0032150F">
      <w:pPr>
        <w:spacing w:after="0"/>
        <w:rPr>
          <w:rFonts w:ascii="Times New Roman" w:hAnsi="Times New Roman" w:cs="Times New Roman"/>
        </w:rPr>
      </w:pPr>
    </w:p>
    <w:p w14:paraId="751735FF" w14:textId="77777777" w:rsidR="0032150F" w:rsidRPr="0032150F" w:rsidRDefault="0032150F" w:rsidP="0032150F">
      <w:pPr>
        <w:pStyle w:val="ListParagraph"/>
        <w:numPr>
          <w:ilvl w:val="3"/>
          <w:numId w:val="3"/>
        </w:numPr>
      </w:pPr>
      <w:r w:rsidRPr="0032150F">
        <w:t>An event that has the potential to involve media exposure or that may be subjected to a high level of scrutiny or public interest;</w:t>
      </w:r>
    </w:p>
    <w:p w14:paraId="167F71B3" w14:textId="77777777" w:rsidR="0032150F" w:rsidRPr="0032150F" w:rsidRDefault="0032150F" w:rsidP="0032150F">
      <w:pPr>
        <w:spacing w:after="0"/>
        <w:rPr>
          <w:rFonts w:ascii="Times New Roman" w:hAnsi="Times New Roman" w:cs="Times New Roman"/>
        </w:rPr>
      </w:pPr>
    </w:p>
    <w:p w14:paraId="32398F75" w14:textId="77777777" w:rsidR="0032150F" w:rsidRDefault="0032150F" w:rsidP="0032150F">
      <w:pPr>
        <w:pStyle w:val="ListParagraph"/>
        <w:numPr>
          <w:ilvl w:val="3"/>
          <w:numId w:val="3"/>
        </w:numPr>
      </w:pPr>
      <w:r w:rsidRPr="0032150F">
        <w:t xml:space="preserve">A situation involving the safety of </w:t>
      </w:r>
      <w:r w:rsidR="00DA1CDD" w:rsidRPr="0032150F">
        <w:t>youth, which</w:t>
      </w:r>
      <w:r w:rsidRPr="0032150F">
        <w:t xml:space="preserve"> could result in the need to contact the Department of Health and Human Services (DHHS) licensure. </w:t>
      </w:r>
    </w:p>
    <w:p w14:paraId="65415484" w14:textId="77777777" w:rsidR="0032150F" w:rsidRPr="0032150F" w:rsidRDefault="0032150F" w:rsidP="0032150F">
      <w:pPr>
        <w:spacing w:after="0"/>
      </w:pPr>
    </w:p>
    <w:p w14:paraId="16544411" w14:textId="77777777" w:rsidR="0032150F" w:rsidRDefault="0032150F" w:rsidP="0032150F">
      <w:pPr>
        <w:pStyle w:val="ListParagraph"/>
        <w:numPr>
          <w:ilvl w:val="3"/>
          <w:numId w:val="3"/>
        </w:numPr>
      </w:pPr>
      <w:r w:rsidRPr="0032150F">
        <w:t>Circumstances that demonstrate potential ethical concerns.</w:t>
      </w:r>
    </w:p>
    <w:p w14:paraId="39C3FA2C" w14:textId="77777777" w:rsidR="0032150F" w:rsidRPr="0032150F" w:rsidRDefault="0032150F" w:rsidP="0032150F">
      <w:pPr>
        <w:spacing w:after="0"/>
      </w:pPr>
    </w:p>
    <w:p w14:paraId="2E613417" w14:textId="77777777" w:rsidR="0032150F" w:rsidRPr="0032150F" w:rsidRDefault="0032150F" w:rsidP="0032150F">
      <w:pPr>
        <w:pStyle w:val="ListParagraph"/>
        <w:numPr>
          <w:ilvl w:val="1"/>
          <w:numId w:val="3"/>
        </w:numPr>
      </w:pPr>
      <w:proofErr w:type="gramStart"/>
      <w:r w:rsidRPr="0032150F">
        <w:t>In the event that</w:t>
      </w:r>
      <w:proofErr w:type="gramEnd"/>
      <w:r w:rsidRPr="0032150F">
        <w:t xml:space="preserve"> an incident occurs during the time a juvenile is justice involved, designated district staff and designated administrative staff will notify all necessary parties related to the incident.</w:t>
      </w:r>
    </w:p>
    <w:p w14:paraId="6218227B" w14:textId="77777777" w:rsidR="0032150F" w:rsidRPr="0032150F" w:rsidRDefault="0032150F" w:rsidP="0032150F">
      <w:pPr>
        <w:spacing w:after="0"/>
        <w:rPr>
          <w:rFonts w:ascii="Times New Roman" w:hAnsi="Times New Roman" w:cs="Times New Roman"/>
        </w:rPr>
      </w:pPr>
    </w:p>
    <w:p w14:paraId="52EFB780" w14:textId="77777777" w:rsidR="0032150F" w:rsidRPr="0032150F" w:rsidRDefault="0032150F" w:rsidP="0032150F">
      <w:pPr>
        <w:pStyle w:val="ListParagraph"/>
        <w:numPr>
          <w:ilvl w:val="2"/>
          <w:numId w:val="3"/>
        </w:numPr>
      </w:pPr>
      <w:r w:rsidRPr="0032150F">
        <w:t>All instances of death, serious injury, allegations of sexual abuse, or significant incidents must be immediately reported to the Juvenile Services Division.</w:t>
      </w:r>
    </w:p>
    <w:p w14:paraId="515F9C24" w14:textId="77777777" w:rsidR="0032150F" w:rsidRPr="0032150F" w:rsidRDefault="0032150F" w:rsidP="0032150F">
      <w:pPr>
        <w:spacing w:after="0"/>
        <w:rPr>
          <w:rFonts w:ascii="Times New Roman" w:hAnsi="Times New Roman" w:cs="Times New Roman"/>
        </w:rPr>
      </w:pPr>
    </w:p>
    <w:p w14:paraId="5BF5E778" w14:textId="77777777" w:rsidR="0032150F" w:rsidRPr="0032150F" w:rsidRDefault="0032150F" w:rsidP="0032150F">
      <w:pPr>
        <w:pStyle w:val="ListParagraph"/>
        <w:numPr>
          <w:ilvl w:val="1"/>
          <w:numId w:val="3"/>
        </w:numPr>
      </w:pPr>
      <w:r w:rsidRPr="0032150F">
        <w:t>The Juvenile Incident Report will be completed and located within the Nebraska Probation Information System.</w:t>
      </w:r>
    </w:p>
    <w:p w14:paraId="03BDD0FF" w14:textId="77777777" w:rsidR="0032150F" w:rsidRPr="0032150F" w:rsidRDefault="0032150F" w:rsidP="0032150F">
      <w:pPr>
        <w:spacing w:after="0"/>
        <w:rPr>
          <w:rFonts w:ascii="Times New Roman" w:hAnsi="Times New Roman" w:cs="Times New Roman"/>
        </w:rPr>
      </w:pPr>
    </w:p>
    <w:p w14:paraId="2407776B" w14:textId="77777777" w:rsidR="0032150F" w:rsidRPr="0032150F" w:rsidRDefault="0032150F" w:rsidP="0032150F">
      <w:pPr>
        <w:pStyle w:val="ListParagraph"/>
        <w:numPr>
          <w:ilvl w:val="0"/>
          <w:numId w:val="3"/>
        </w:numPr>
      </w:pPr>
      <w:r w:rsidRPr="0032150F">
        <w:t>Reporting to the OIG:</w:t>
      </w:r>
    </w:p>
    <w:p w14:paraId="4D7D00DD" w14:textId="77777777" w:rsidR="0032150F" w:rsidRPr="0032150F" w:rsidRDefault="0032150F" w:rsidP="0032150F">
      <w:pPr>
        <w:spacing w:after="0"/>
        <w:rPr>
          <w:rFonts w:ascii="Times New Roman" w:hAnsi="Times New Roman" w:cs="Times New Roman"/>
        </w:rPr>
      </w:pPr>
    </w:p>
    <w:p w14:paraId="4F96F294" w14:textId="77777777" w:rsidR="0032150F" w:rsidRPr="0032150F" w:rsidRDefault="0032150F" w:rsidP="0032150F">
      <w:pPr>
        <w:pStyle w:val="ListParagraph"/>
        <w:numPr>
          <w:ilvl w:val="1"/>
          <w:numId w:val="3"/>
        </w:numPr>
      </w:pPr>
      <w:r w:rsidRPr="0032150F">
        <w:t>For incidents required to be reported, designated Administrative Staff (Clerk of the Supreme Court) shall forward the notice of incident to the OIG in addition to any necessary addendums and/or follow-up information.</w:t>
      </w:r>
    </w:p>
    <w:p w14:paraId="6CE4FEDD" w14:textId="77777777" w:rsidR="0032150F" w:rsidRPr="0032150F" w:rsidRDefault="0032150F" w:rsidP="0032150F">
      <w:pPr>
        <w:spacing w:after="0"/>
        <w:rPr>
          <w:rFonts w:ascii="Times New Roman" w:hAnsi="Times New Roman" w:cs="Times New Roman"/>
        </w:rPr>
      </w:pPr>
    </w:p>
    <w:p w14:paraId="28126217" w14:textId="77777777" w:rsidR="0032150F" w:rsidRPr="0032150F" w:rsidRDefault="0032150F" w:rsidP="0032150F">
      <w:pPr>
        <w:pStyle w:val="ListParagraph"/>
        <w:numPr>
          <w:ilvl w:val="1"/>
          <w:numId w:val="3"/>
        </w:numPr>
      </w:pPr>
      <w:r w:rsidRPr="0032150F">
        <w:rPr>
          <w:noProof/>
        </w:rPr>
        <mc:AlternateContent>
          <mc:Choice Requires="wps">
            <w:drawing>
              <wp:anchor distT="0" distB="0" distL="114300" distR="114300" simplePos="0" relativeHeight="251659264" behindDoc="0" locked="0" layoutInCell="1" allowOverlap="1" wp14:anchorId="29BDE147" wp14:editId="747818C3">
                <wp:simplePos x="0" y="0"/>
                <wp:positionH relativeFrom="page">
                  <wp:posOffset>4664075</wp:posOffset>
                </wp:positionH>
                <wp:positionV relativeFrom="paragraph">
                  <wp:posOffset>98425</wp:posOffset>
                </wp:positionV>
                <wp:extent cx="34925" cy="0"/>
                <wp:effectExtent l="6350" t="12065" r="635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5B33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25pt,7.75pt" to="37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" strokeweight=".55pt">
                <w10:wrap anchorx="page"/>
              </v:line>
            </w:pict>
          </mc:Fallback>
        </mc:AlternateContent>
      </w:r>
      <w:r w:rsidRPr="0032150F">
        <w:t>Incidents required to be reported include:</w:t>
      </w:r>
    </w:p>
    <w:p w14:paraId="6449E54B" w14:textId="77777777" w:rsidR="0032150F" w:rsidRPr="0032150F" w:rsidRDefault="0032150F" w:rsidP="0032150F">
      <w:pPr>
        <w:spacing w:after="0"/>
        <w:rPr>
          <w:rFonts w:ascii="Times New Roman" w:hAnsi="Times New Roman" w:cs="Times New Roman"/>
        </w:rPr>
      </w:pPr>
    </w:p>
    <w:p w14:paraId="01EE5F64" w14:textId="77777777" w:rsidR="0032150F" w:rsidRPr="0032150F" w:rsidRDefault="0032150F" w:rsidP="0032150F">
      <w:pPr>
        <w:pStyle w:val="ListParagraph"/>
        <w:numPr>
          <w:ilvl w:val="2"/>
          <w:numId w:val="3"/>
        </w:numPr>
      </w:pPr>
      <w:r w:rsidRPr="0032150F">
        <w:rPr>
          <w:noProof/>
        </w:rPr>
        <mc:AlternateContent>
          <mc:Choice Requires="wps">
            <w:drawing>
              <wp:anchor distT="0" distB="0" distL="114300" distR="114300" simplePos="0" relativeHeight="251660288" behindDoc="1" locked="0" layoutInCell="1" allowOverlap="1" wp14:anchorId="3E5AE4FB" wp14:editId="400F39A4">
                <wp:simplePos x="0" y="0"/>
                <wp:positionH relativeFrom="page">
                  <wp:posOffset>3844925</wp:posOffset>
                </wp:positionH>
                <wp:positionV relativeFrom="paragraph">
                  <wp:posOffset>959485</wp:posOffset>
                </wp:positionV>
                <wp:extent cx="34925" cy="0"/>
                <wp:effectExtent l="6350" t="6985" r="635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935FA"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75pt,75.55pt" to="305.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" strokeweight=".55pt">
                <w10:wrap anchorx="page"/>
              </v:line>
            </w:pict>
          </mc:Fallback>
        </mc:AlternateContent>
      </w:r>
      <w:r w:rsidRPr="0032150F">
        <w:t xml:space="preserve">Neb. Rev. Stat. §43-4318(2)(a) “all cases of death or serious injury of a child in a foster home, private agency, child care facility or program, or other program or facility licensed by the department or inspected through </w:t>
      </w:r>
      <w:r w:rsidRPr="0032150F">
        <w:lastRenderedPageBreak/>
        <w:t>the commission to the Inspector General as soon as reasonably possible after the Office of Probation Administration learns of such death or serious injury” and;</w:t>
      </w:r>
    </w:p>
    <w:p w14:paraId="30CE3D72" w14:textId="77777777" w:rsidR="0032150F" w:rsidRPr="0032150F" w:rsidRDefault="0032150F" w:rsidP="0032150F">
      <w:pPr>
        <w:spacing w:after="0"/>
        <w:rPr>
          <w:rFonts w:ascii="Times New Roman" w:hAnsi="Times New Roman" w:cs="Times New Roman"/>
        </w:rPr>
      </w:pPr>
    </w:p>
    <w:p w14:paraId="73180825" w14:textId="77777777" w:rsidR="0032150F" w:rsidRPr="0032150F" w:rsidRDefault="0032150F" w:rsidP="0032150F">
      <w:pPr>
        <w:pStyle w:val="ListParagraph"/>
        <w:numPr>
          <w:ilvl w:val="2"/>
          <w:numId w:val="3"/>
        </w:numPr>
      </w:pPr>
      <w:r w:rsidRPr="0032150F">
        <w:t>Neb. Rev. Stat. §43-4318(2)(b) “All allegations of sexual abuse of a juvenile on probation, juvenile in a detention facility, or in a residential child-caring agency”</w:t>
      </w:r>
    </w:p>
    <w:p w14:paraId="7BFD5A17" w14:textId="77777777" w:rsidR="0032150F" w:rsidRPr="0032150F" w:rsidRDefault="0032150F" w:rsidP="0032150F">
      <w:pPr>
        <w:spacing w:after="0"/>
        <w:rPr>
          <w:rFonts w:ascii="Times New Roman" w:hAnsi="Times New Roman" w:cs="Times New Roman"/>
        </w:rPr>
      </w:pPr>
    </w:p>
    <w:p w14:paraId="41761EDD" w14:textId="77777777" w:rsidR="0032150F" w:rsidRPr="0032150F" w:rsidRDefault="0032150F" w:rsidP="0032150F">
      <w:pPr>
        <w:pStyle w:val="ListParagraph"/>
        <w:numPr>
          <w:ilvl w:val="0"/>
          <w:numId w:val="3"/>
        </w:numPr>
      </w:pPr>
      <w:r w:rsidRPr="0032150F">
        <w:t>Adult Procedure</w:t>
      </w:r>
    </w:p>
    <w:p w14:paraId="6B8ADD86" w14:textId="77777777" w:rsidR="0032150F" w:rsidRPr="0032150F" w:rsidRDefault="0032150F" w:rsidP="0032150F">
      <w:pPr>
        <w:spacing w:after="0"/>
        <w:rPr>
          <w:rFonts w:ascii="Times New Roman" w:hAnsi="Times New Roman" w:cs="Times New Roman"/>
        </w:rPr>
      </w:pPr>
    </w:p>
    <w:p w14:paraId="49614455" w14:textId="77777777" w:rsidR="0032150F" w:rsidRPr="0032150F" w:rsidRDefault="0032150F" w:rsidP="0032150F">
      <w:pPr>
        <w:pStyle w:val="ListParagraph"/>
        <w:numPr>
          <w:ilvl w:val="1"/>
          <w:numId w:val="3"/>
        </w:numPr>
      </w:pPr>
      <w:r w:rsidRPr="0032150F">
        <w:t xml:space="preserve">Definitions: </w:t>
      </w:r>
    </w:p>
    <w:p w14:paraId="33874506" w14:textId="77777777" w:rsidR="0032150F" w:rsidRPr="0032150F" w:rsidRDefault="0032150F" w:rsidP="0032150F">
      <w:pPr>
        <w:spacing w:after="0"/>
        <w:rPr>
          <w:rFonts w:ascii="Times New Roman" w:hAnsi="Times New Roman" w:cs="Times New Roman"/>
        </w:rPr>
      </w:pPr>
    </w:p>
    <w:p w14:paraId="676FD058" w14:textId="77777777" w:rsidR="0032150F" w:rsidRPr="0032150F" w:rsidRDefault="0032150F" w:rsidP="0032150F">
      <w:pPr>
        <w:pStyle w:val="ListParagraph"/>
        <w:numPr>
          <w:ilvl w:val="2"/>
          <w:numId w:val="3"/>
        </w:numPr>
      </w:pPr>
      <w:r w:rsidRPr="0032150F">
        <w:t xml:space="preserve">Death or Serious Injury: The death or serious injury incurred by an </w:t>
      </w:r>
      <w:r w:rsidR="0055508E">
        <w:t>adult</w:t>
      </w:r>
      <w:r w:rsidR="00B55EEC">
        <w:t>,</w:t>
      </w:r>
      <w:r w:rsidRPr="0032150F">
        <w:t xml:space="preserve"> </w:t>
      </w:r>
      <w:r w:rsidR="00B55EEC">
        <w:t>as victim or responsible party,</w:t>
      </w:r>
      <w:r w:rsidR="00B55EEC" w:rsidRPr="0032150F">
        <w:t xml:space="preserve"> </w:t>
      </w:r>
      <w:r w:rsidRPr="0032150F">
        <w:t>while under community supervision,</w:t>
      </w:r>
      <w:r w:rsidR="00B55EEC">
        <w:t xml:space="preserve"> </w:t>
      </w:r>
      <w:r w:rsidRPr="0032150F">
        <w:t xml:space="preserve">presentence investigation, and/or having an active probation case to include </w:t>
      </w:r>
      <w:r w:rsidR="00B55EEC">
        <w:t>death or serious injury resulting from:</w:t>
      </w:r>
    </w:p>
    <w:p w14:paraId="47989FA7" w14:textId="77777777" w:rsidR="0032150F" w:rsidRPr="0032150F" w:rsidRDefault="0032150F" w:rsidP="0032150F">
      <w:pPr>
        <w:spacing w:after="0"/>
        <w:rPr>
          <w:rFonts w:ascii="Times New Roman" w:hAnsi="Times New Roman" w:cs="Times New Roman"/>
        </w:rPr>
      </w:pPr>
    </w:p>
    <w:p w14:paraId="4531A1C9" w14:textId="77777777" w:rsidR="0032150F" w:rsidRDefault="0032150F" w:rsidP="0032150F">
      <w:pPr>
        <w:pStyle w:val="ListParagraph"/>
        <w:numPr>
          <w:ilvl w:val="3"/>
          <w:numId w:val="3"/>
        </w:numPr>
      </w:pPr>
      <w:r w:rsidRPr="0032150F">
        <w:t>Homicide</w:t>
      </w:r>
    </w:p>
    <w:p w14:paraId="1C1866E0" w14:textId="77777777" w:rsidR="0032150F" w:rsidRPr="0032150F" w:rsidRDefault="0032150F" w:rsidP="0032150F">
      <w:pPr>
        <w:pStyle w:val="ListParagraph"/>
        <w:ind w:left="3600" w:firstLine="0"/>
      </w:pPr>
    </w:p>
    <w:p w14:paraId="6F2F6475" w14:textId="77777777" w:rsidR="0032150F" w:rsidRDefault="0032150F" w:rsidP="0032150F">
      <w:pPr>
        <w:pStyle w:val="ListParagraph"/>
        <w:numPr>
          <w:ilvl w:val="3"/>
          <w:numId w:val="3"/>
        </w:numPr>
      </w:pPr>
      <w:r w:rsidRPr="0032150F">
        <w:t>Suicide</w:t>
      </w:r>
    </w:p>
    <w:p w14:paraId="082DC87B" w14:textId="77777777" w:rsidR="0032150F" w:rsidRPr="0032150F" w:rsidRDefault="0032150F" w:rsidP="0032150F">
      <w:pPr>
        <w:spacing w:after="0"/>
      </w:pPr>
    </w:p>
    <w:p w14:paraId="5F70C06B" w14:textId="77777777" w:rsidR="0032150F" w:rsidRDefault="0032150F" w:rsidP="0032150F">
      <w:pPr>
        <w:pStyle w:val="ListParagraph"/>
        <w:numPr>
          <w:ilvl w:val="3"/>
          <w:numId w:val="3"/>
        </w:numPr>
      </w:pPr>
      <w:r w:rsidRPr="0032150F">
        <w:t xml:space="preserve">Overdose </w:t>
      </w:r>
    </w:p>
    <w:p w14:paraId="0392A962" w14:textId="77777777" w:rsidR="0032150F" w:rsidRPr="0032150F" w:rsidRDefault="0032150F" w:rsidP="0032150F">
      <w:pPr>
        <w:spacing w:after="0"/>
      </w:pPr>
    </w:p>
    <w:p w14:paraId="2C78C648" w14:textId="77777777" w:rsidR="0032150F" w:rsidRPr="0032150F" w:rsidRDefault="0055508E" w:rsidP="0032150F">
      <w:pPr>
        <w:pStyle w:val="ListParagraph"/>
        <w:numPr>
          <w:ilvl w:val="3"/>
          <w:numId w:val="3"/>
        </w:numPr>
      </w:pPr>
      <w:r>
        <w:t>Other than natural causes</w:t>
      </w:r>
    </w:p>
    <w:p w14:paraId="305B7C0B" w14:textId="77777777" w:rsidR="0032150F" w:rsidRPr="0032150F" w:rsidRDefault="0032150F" w:rsidP="0032150F">
      <w:pPr>
        <w:spacing w:after="0"/>
        <w:rPr>
          <w:rFonts w:ascii="Times New Roman" w:hAnsi="Times New Roman" w:cs="Times New Roman"/>
        </w:rPr>
      </w:pPr>
    </w:p>
    <w:p w14:paraId="40B27B34" w14:textId="77777777" w:rsidR="0032150F" w:rsidRPr="0032150F" w:rsidRDefault="0032150F" w:rsidP="0032150F">
      <w:pPr>
        <w:pStyle w:val="ListParagraph"/>
        <w:numPr>
          <w:ilvl w:val="1"/>
          <w:numId w:val="3"/>
        </w:numPr>
      </w:pPr>
      <w:r w:rsidRPr="0032150F">
        <w:t>Significant Incident: An actual or alleged event or situation that creates a significant risk of substantial or serious harm to the physical or m</w:t>
      </w:r>
      <w:r w:rsidR="0055508E">
        <w:t>ental safety or well-being of an adult, as a victim or responsible party</w:t>
      </w:r>
      <w:r w:rsidRPr="0032150F">
        <w:t xml:space="preserve">. Examples of such incidents may include, but are not limited to: </w:t>
      </w:r>
    </w:p>
    <w:p w14:paraId="1A2D3F21" w14:textId="77777777" w:rsidR="0032150F" w:rsidRPr="0032150F" w:rsidRDefault="0032150F" w:rsidP="0032150F">
      <w:pPr>
        <w:spacing w:after="0"/>
        <w:rPr>
          <w:rFonts w:ascii="Times New Roman" w:hAnsi="Times New Roman" w:cs="Times New Roman"/>
        </w:rPr>
      </w:pPr>
    </w:p>
    <w:p w14:paraId="54DB822B" w14:textId="77777777" w:rsidR="0032150F" w:rsidRDefault="0032150F" w:rsidP="0032150F">
      <w:pPr>
        <w:pStyle w:val="ListParagraph"/>
        <w:numPr>
          <w:ilvl w:val="2"/>
          <w:numId w:val="3"/>
        </w:numPr>
      </w:pPr>
      <w:r w:rsidRPr="0032150F">
        <w:t>An event that has the potential to involve media exposure or that may be subjected to a high level of scrutiny or public interest;</w:t>
      </w:r>
    </w:p>
    <w:p w14:paraId="041D99C5" w14:textId="77777777" w:rsidR="0032150F" w:rsidRPr="0032150F" w:rsidRDefault="0032150F" w:rsidP="0032150F">
      <w:pPr>
        <w:pStyle w:val="ListParagraph"/>
        <w:ind w:left="2880" w:firstLine="0"/>
      </w:pPr>
    </w:p>
    <w:p w14:paraId="7EA0CE7D" w14:textId="77777777" w:rsidR="0032150F" w:rsidRDefault="0032150F" w:rsidP="0032150F">
      <w:pPr>
        <w:pStyle w:val="ListParagraph"/>
        <w:numPr>
          <w:ilvl w:val="2"/>
          <w:numId w:val="3"/>
        </w:numPr>
      </w:pPr>
      <w:r w:rsidRPr="0032150F">
        <w:t>Circumstances that demonstrate potential ethical concerns.</w:t>
      </w:r>
    </w:p>
    <w:p w14:paraId="7A1E8CE4" w14:textId="77777777" w:rsidR="0032150F" w:rsidRPr="0032150F" w:rsidRDefault="0032150F" w:rsidP="0032150F">
      <w:pPr>
        <w:spacing w:after="0"/>
      </w:pPr>
    </w:p>
    <w:p w14:paraId="010FEDDC" w14:textId="77777777" w:rsidR="0032150F" w:rsidRPr="0032150F" w:rsidRDefault="0032150F" w:rsidP="0032150F">
      <w:pPr>
        <w:pStyle w:val="ListParagraph"/>
        <w:numPr>
          <w:ilvl w:val="0"/>
          <w:numId w:val="3"/>
        </w:numPr>
      </w:pPr>
      <w:r w:rsidRPr="0032150F">
        <w:t>Reporting to Administrative Office of the Courts and Probation</w:t>
      </w:r>
    </w:p>
    <w:p w14:paraId="5B24BB1B" w14:textId="77777777" w:rsidR="0032150F" w:rsidRPr="0032150F" w:rsidRDefault="0032150F" w:rsidP="0032150F">
      <w:pPr>
        <w:spacing w:after="0"/>
        <w:rPr>
          <w:rFonts w:ascii="Times New Roman" w:hAnsi="Times New Roman" w:cs="Times New Roman"/>
        </w:rPr>
      </w:pPr>
    </w:p>
    <w:p w14:paraId="2B2ADEC4" w14:textId="77777777" w:rsidR="0032150F" w:rsidRPr="0032150F" w:rsidRDefault="0032150F" w:rsidP="0032150F">
      <w:pPr>
        <w:pStyle w:val="ListParagraph"/>
        <w:numPr>
          <w:ilvl w:val="1"/>
          <w:numId w:val="3"/>
        </w:numPr>
      </w:pPr>
      <w:r w:rsidRPr="0032150F">
        <w:t xml:space="preserve">The Chief Probation Officer or designee will contact the Probation Administrator citing the incident as soon as possible and will conduct an incident report with designated staff of the Administrative Office of the Courts and Probations as instructed. </w:t>
      </w:r>
    </w:p>
    <w:p w14:paraId="26B0CFFC" w14:textId="77777777" w:rsidR="0032150F" w:rsidRPr="0032150F" w:rsidRDefault="0032150F" w:rsidP="0032150F">
      <w:pPr>
        <w:rPr>
          <w:rFonts w:ascii="Times New Roman" w:hAnsi="Times New Roman" w:cs="Times New Roman"/>
        </w:rPr>
      </w:pPr>
    </w:p>
    <w:p w14:paraId="6827B4A9" w14:textId="77777777" w:rsidR="0032150F" w:rsidRPr="0032150F" w:rsidRDefault="0032150F" w:rsidP="0032150F">
      <w:pPr>
        <w:rPr>
          <w:rFonts w:ascii="Times New Roman" w:hAnsi="Times New Roman" w:cs="Times New Roman"/>
        </w:rPr>
      </w:pPr>
    </w:p>
    <w:p w14:paraId="564AA77C" w14:textId="77777777" w:rsidR="0032150F" w:rsidRPr="0032150F" w:rsidRDefault="0032150F" w:rsidP="0032150F">
      <w:pPr>
        <w:rPr>
          <w:rFonts w:ascii="Times New Roman" w:hAnsi="Times New Roman" w:cs="Times New Roman"/>
        </w:rPr>
      </w:pPr>
    </w:p>
    <w:p w14:paraId="09083610" w14:textId="77777777" w:rsidR="002767EB" w:rsidRPr="0032150F" w:rsidRDefault="002767EB" w:rsidP="0032150F">
      <w:pPr>
        <w:rPr>
          <w:rFonts w:ascii="Times New Roman" w:hAnsi="Times New Roman" w:cs="Times New Roman"/>
        </w:rPr>
      </w:pPr>
    </w:p>
    <w:sectPr w:rsidR="002767EB" w:rsidRPr="003215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11744" w14:textId="77777777" w:rsidR="00534EB0" w:rsidRDefault="00534EB0" w:rsidP="007F1BC0">
      <w:pPr>
        <w:spacing w:after="0" w:line="240" w:lineRule="auto"/>
      </w:pPr>
      <w:r>
        <w:separator/>
      </w:r>
    </w:p>
  </w:endnote>
  <w:endnote w:type="continuationSeparator" w:id="0">
    <w:p w14:paraId="232ADBD3" w14:textId="77777777" w:rsidR="00534EB0" w:rsidRDefault="00534EB0" w:rsidP="007F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547731"/>
      <w:docPartObj>
        <w:docPartGallery w:val="Page Numbers (Bottom of Page)"/>
        <w:docPartUnique/>
      </w:docPartObj>
    </w:sdtPr>
    <w:sdtEndPr>
      <w:rPr>
        <w:noProof/>
      </w:rPr>
    </w:sdtEndPr>
    <w:sdtContent>
      <w:p w14:paraId="5EB2384F" w14:textId="77777777" w:rsidR="007F1BC0" w:rsidRDefault="007F1BC0">
        <w:pPr>
          <w:pStyle w:val="Footer"/>
          <w:jc w:val="center"/>
        </w:pPr>
        <w:r>
          <w:fldChar w:fldCharType="begin"/>
        </w:r>
        <w:r>
          <w:instrText xml:space="preserve"> PAGE   \* MERGEFORMAT </w:instrText>
        </w:r>
        <w:r>
          <w:fldChar w:fldCharType="separate"/>
        </w:r>
        <w:r w:rsidR="00385EF9">
          <w:rPr>
            <w:noProof/>
          </w:rPr>
          <w:t>3</w:t>
        </w:r>
        <w:r>
          <w:rPr>
            <w:noProof/>
          </w:rPr>
          <w:fldChar w:fldCharType="end"/>
        </w:r>
      </w:p>
    </w:sdtContent>
  </w:sdt>
  <w:p w14:paraId="762718DF" w14:textId="77777777" w:rsidR="007F1BC0" w:rsidRDefault="007F1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AE90" w14:textId="77777777" w:rsidR="00534EB0" w:rsidRDefault="00534EB0" w:rsidP="007F1BC0">
      <w:pPr>
        <w:spacing w:after="0" w:line="240" w:lineRule="auto"/>
      </w:pPr>
      <w:r>
        <w:separator/>
      </w:r>
    </w:p>
  </w:footnote>
  <w:footnote w:type="continuationSeparator" w:id="0">
    <w:p w14:paraId="286CCDC4" w14:textId="77777777" w:rsidR="00534EB0" w:rsidRDefault="00534EB0" w:rsidP="007F1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66E"/>
    <w:multiLevelType w:val="hybridMultilevel"/>
    <w:tmpl w:val="F7E80386"/>
    <w:lvl w:ilvl="0" w:tplc="9836BDFC">
      <w:start w:val="1"/>
      <w:numFmt w:val="upperRoman"/>
      <w:lvlText w:val="%1."/>
      <w:lvlJc w:val="left"/>
      <w:pPr>
        <w:ind w:left="820" w:hanging="720"/>
      </w:pPr>
      <w:rPr>
        <w:rFonts w:ascii="Times New Roman" w:eastAsia="Times New Roman" w:hAnsi="Times New Roman" w:cs="Times New Roman" w:hint="default"/>
        <w:b/>
        <w:bCs/>
        <w:spacing w:val="-1"/>
        <w:w w:val="100"/>
        <w:sz w:val="22"/>
        <w:szCs w:val="22"/>
      </w:rPr>
    </w:lvl>
    <w:lvl w:ilvl="1" w:tplc="1C74D512">
      <w:start w:val="1"/>
      <w:numFmt w:val="upperLetter"/>
      <w:lvlText w:val="%2."/>
      <w:lvlJc w:val="left"/>
      <w:pPr>
        <w:ind w:left="1540" w:hanging="720"/>
      </w:pPr>
      <w:rPr>
        <w:rFonts w:ascii="Times New Roman" w:eastAsia="Times New Roman" w:hAnsi="Times New Roman" w:cs="Times New Roman" w:hint="default"/>
        <w:spacing w:val="-1"/>
        <w:w w:val="100"/>
        <w:sz w:val="22"/>
        <w:szCs w:val="22"/>
      </w:rPr>
    </w:lvl>
    <w:lvl w:ilvl="2" w:tplc="8C18FD34">
      <w:start w:val="1"/>
      <w:numFmt w:val="decimal"/>
      <w:lvlText w:val="%3."/>
      <w:lvlJc w:val="left"/>
      <w:pPr>
        <w:ind w:left="2260" w:hanging="720"/>
      </w:pPr>
      <w:rPr>
        <w:rFonts w:ascii="Times New Roman" w:eastAsia="Times New Roman" w:hAnsi="Times New Roman" w:cs="Times New Roman" w:hint="default"/>
        <w:w w:val="100"/>
        <w:sz w:val="22"/>
        <w:szCs w:val="22"/>
      </w:rPr>
    </w:lvl>
    <w:lvl w:ilvl="3" w:tplc="757CB40A">
      <w:start w:val="1"/>
      <w:numFmt w:val="lowerLetter"/>
      <w:lvlText w:val="%4)"/>
      <w:lvlJc w:val="left"/>
      <w:pPr>
        <w:ind w:left="2980" w:hanging="720"/>
      </w:pPr>
      <w:rPr>
        <w:rFonts w:ascii="Times New Roman" w:eastAsia="Times New Roman" w:hAnsi="Times New Roman" w:cs="Times New Roman" w:hint="default"/>
        <w:spacing w:val="-1"/>
        <w:w w:val="100"/>
        <w:sz w:val="22"/>
        <w:szCs w:val="22"/>
      </w:rPr>
    </w:lvl>
    <w:lvl w:ilvl="4" w:tplc="53A68BFC">
      <w:numFmt w:val="bullet"/>
      <w:lvlText w:val="•"/>
      <w:lvlJc w:val="left"/>
      <w:pPr>
        <w:ind w:left="2980" w:hanging="720"/>
      </w:pPr>
      <w:rPr>
        <w:rFonts w:hint="default"/>
      </w:rPr>
    </w:lvl>
    <w:lvl w:ilvl="5" w:tplc="ABCE8C3E">
      <w:numFmt w:val="bullet"/>
      <w:lvlText w:val="•"/>
      <w:lvlJc w:val="left"/>
      <w:pPr>
        <w:ind w:left="4236" w:hanging="720"/>
      </w:pPr>
      <w:rPr>
        <w:rFonts w:hint="default"/>
      </w:rPr>
    </w:lvl>
    <w:lvl w:ilvl="6" w:tplc="B7746B0A">
      <w:numFmt w:val="bullet"/>
      <w:lvlText w:val="•"/>
      <w:lvlJc w:val="left"/>
      <w:pPr>
        <w:ind w:left="5493" w:hanging="720"/>
      </w:pPr>
      <w:rPr>
        <w:rFonts w:hint="default"/>
      </w:rPr>
    </w:lvl>
    <w:lvl w:ilvl="7" w:tplc="FB9E9D96">
      <w:numFmt w:val="bullet"/>
      <w:lvlText w:val="•"/>
      <w:lvlJc w:val="left"/>
      <w:pPr>
        <w:ind w:left="6750" w:hanging="720"/>
      </w:pPr>
      <w:rPr>
        <w:rFonts w:hint="default"/>
      </w:rPr>
    </w:lvl>
    <w:lvl w:ilvl="8" w:tplc="F15616B2">
      <w:numFmt w:val="bullet"/>
      <w:lvlText w:val="•"/>
      <w:lvlJc w:val="left"/>
      <w:pPr>
        <w:ind w:left="8006" w:hanging="720"/>
      </w:pPr>
      <w:rPr>
        <w:rFonts w:hint="default"/>
      </w:rPr>
    </w:lvl>
  </w:abstractNum>
  <w:abstractNum w:abstractNumId="1" w15:restartNumberingAfterBreak="0">
    <w:nsid w:val="3F9F6651"/>
    <w:multiLevelType w:val="multilevel"/>
    <w:tmpl w:val="47DE8044"/>
    <w:numStyleLink w:val="ProtocolBody"/>
  </w:abstractNum>
  <w:abstractNum w:abstractNumId="2" w15:restartNumberingAfterBreak="0">
    <w:nsid w:val="5C351948"/>
    <w:multiLevelType w:val="multilevel"/>
    <w:tmpl w:val="47DE8044"/>
    <w:styleLink w:val="ProtocolBody"/>
    <w:lvl w:ilvl="0">
      <w:start w:val="1"/>
      <w:numFmt w:val="upperLetter"/>
      <w:lvlText w:val="%1."/>
      <w:lvlJc w:val="left"/>
      <w:pPr>
        <w:tabs>
          <w:tab w:val="num" w:pos="720"/>
        </w:tabs>
        <w:ind w:left="1440" w:hanging="720"/>
      </w:pPr>
      <w:rPr>
        <w:rFonts w:ascii="Times New Roman" w:hAnsi="Times New Roman" w:hint="default"/>
        <w:sz w:val="22"/>
      </w:rPr>
    </w:lvl>
    <w:lvl w:ilvl="1">
      <w:start w:val="1"/>
      <w:numFmt w:val="decimal"/>
      <w:lvlText w:val="%2."/>
      <w:lvlJc w:val="left"/>
      <w:pPr>
        <w:tabs>
          <w:tab w:val="num" w:pos="1440"/>
        </w:tabs>
        <w:ind w:left="2160" w:hanging="720"/>
      </w:pPr>
      <w:rPr>
        <w:rFonts w:hint="default"/>
      </w:rPr>
    </w:lvl>
    <w:lvl w:ilvl="2">
      <w:start w:val="1"/>
      <w:numFmt w:val="lowerLetter"/>
      <w:lvlText w:val="%3)"/>
      <w:lvlJc w:val="left"/>
      <w:pPr>
        <w:tabs>
          <w:tab w:val="num" w:pos="2160"/>
        </w:tabs>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Roman"/>
      <w:lvlText w:val="%9."/>
      <w:lvlJc w:val="left"/>
      <w:pPr>
        <w:ind w:left="7200" w:hanging="720"/>
      </w:pPr>
      <w:rPr>
        <w:rFonts w:hint="default"/>
      </w:rPr>
    </w:lvl>
  </w:abstractNum>
  <w:num w:numId="1" w16cid:durableId="1544562267">
    <w:abstractNumId w:val="2"/>
  </w:num>
  <w:num w:numId="2" w16cid:durableId="1264269595">
    <w:abstractNumId w:val="0"/>
  </w:num>
  <w:num w:numId="3" w16cid:durableId="1597397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50F"/>
    <w:rsid w:val="00051405"/>
    <w:rsid w:val="002767EB"/>
    <w:rsid w:val="0032150F"/>
    <w:rsid w:val="00385EF9"/>
    <w:rsid w:val="004F18A2"/>
    <w:rsid w:val="00534EB0"/>
    <w:rsid w:val="0055508E"/>
    <w:rsid w:val="00737C3B"/>
    <w:rsid w:val="007F1BC0"/>
    <w:rsid w:val="00843945"/>
    <w:rsid w:val="00AA2D97"/>
    <w:rsid w:val="00AC08DC"/>
    <w:rsid w:val="00B55EEC"/>
    <w:rsid w:val="00DA1CDD"/>
    <w:rsid w:val="00E2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F2C9E"/>
  <w15:chartTrackingRefBased/>
  <w15:docId w15:val="{29E5D16B-FE2E-46EF-BC09-A256F083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0F"/>
  </w:style>
  <w:style w:type="paragraph" w:styleId="Heading1">
    <w:name w:val="heading 1"/>
    <w:basedOn w:val="Normal"/>
    <w:link w:val="Heading1Char"/>
    <w:uiPriority w:val="1"/>
    <w:qFormat/>
    <w:rsid w:val="0032150F"/>
    <w:pPr>
      <w:widowControl w:val="0"/>
      <w:autoSpaceDE w:val="0"/>
      <w:autoSpaceDN w:val="0"/>
      <w:spacing w:after="0" w:line="240" w:lineRule="auto"/>
      <w:ind w:left="820" w:hanging="72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4F18A2"/>
    <w:pPr>
      <w:numPr>
        <w:numId w:val="1"/>
      </w:numPr>
    </w:pPr>
  </w:style>
  <w:style w:type="character" w:customStyle="1" w:styleId="Heading1Char">
    <w:name w:val="Heading 1 Char"/>
    <w:basedOn w:val="DefaultParagraphFont"/>
    <w:link w:val="Heading1"/>
    <w:uiPriority w:val="1"/>
    <w:rsid w:val="0032150F"/>
    <w:rPr>
      <w:rFonts w:ascii="Times New Roman" w:eastAsia="Times New Roman" w:hAnsi="Times New Roman" w:cs="Times New Roman"/>
      <w:b/>
      <w:bCs/>
    </w:rPr>
  </w:style>
  <w:style w:type="paragraph" w:styleId="BodyText">
    <w:name w:val="Body Text"/>
    <w:basedOn w:val="Normal"/>
    <w:link w:val="BodyTextChar"/>
    <w:uiPriority w:val="1"/>
    <w:qFormat/>
    <w:rsid w:val="0032150F"/>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2150F"/>
    <w:rPr>
      <w:rFonts w:ascii="Times New Roman" w:eastAsia="Times New Roman" w:hAnsi="Times New Roman" w:cs="Times New Roman"/>
    </w:rPr>
  </w:style>
  <w:style w:type="paragraph" w:styleId="Title">
    <w:name w:val="Title"/>
    <w:basedOn w:val="Normal"/>
    <w:link w:val="TitleChar"/>
    <w:uiPriority w:val="1"/>
    <w:qFormat/>
    <w:rsid w:val="0032150F"/>
    <w:pPr>
      <w:widowControl w:val="0"/>
      <w:autoSpaceDE w:val="0"/>
      <w:autoSpaceDN w:val="0"/>
      <w:spacing w:before="88" w:after="0" w:line="240" w:lineRule="auto"/>
      <w:ind w:left="100"/>
    </w:pPr>
    <w:rPr>
      <w:rFonts w:ascii="Times New Roman" w:eastAsia="Times New Roman" w:hAnsi="Times New Roman" w:cs="Times New Roman"/>
      <w:b/>
      <w:bCs/>
      <w:i/>
      <w:sz w:val="28"/>
      <w:szCs w:val="28"/>
    </w:rPr>
  </w:style>
  <w:style w:type="character" w:customStyle="1" w:styleId="TitleChar">
    <w:name w:val="Title Char"/>
    <w:basedOn w:val="DefaultParagraphFont"/>
    <w:link w:val="Title"/>
    <w:uiPriority w:val="1"/>
    <w:rsid w:val="0032150F"/>
    <w:rPr>
      <w:rFonts w:ascii="Times New Roman" w:eastAsia="Times New Roman" w:hAnsi="Times New Roman" w:cs="Times New Roman"/>
      <w:b/>
      <w:bCs/>
      <w:i/>
      <w:sz w:val="28"/>
      <w:szCs w:val="28"/>
    </w:rPr>
  </w:style>
  <w:style w:type="paragraph" w:styleId="ListParagraph">
    <w:name w:val="List Paragraph"/>
    <w:basedOn w:val="Normal"/>
    <w:uiPriority w:val="1"/>
    <w:qFormat/>
    <w:rsid w:val="0032150F"/>
    <w:pPr>
      <w:widowControl w:val="0"/>
      <w:autoSpaceDE w:val="0"/>
      <w:autoSpaceDN w:val="0"/>
      <w:spacing w:after="0" w:line="240" w:lineRule="auto"/>
      <w:ind w:left="2980" w:hanging="720"/>
    </w:pPr>
    <w:rPr>
      <w:rFonts w:ascii="Times New Roman" w:eastAsia="Times New Roman" w:hAnsi="Times New Roman" w:cs="Times New Roman"/>
    </w:rPr>
  </w:style>
  <w:style w:type="paragraph" w:styleId="Header">
    <w:name w:val="header"/>
    <w:basedOn w:val="Normal"/>
    <w:link w:val="HeaderChar"/>
    <w:uiPriority w:val="99"/>
    <w:unhideWhenUsed/>
    <w:rsid w:val="00321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50F"/>
  </w:style>
  <w:style w:type="paragraph" w:styleId="Footer">
    <w:name w:val="footer"/>
    <w:basedOn w:val="Normal"/>
    <w:link w:val="FooterChar"/>
    <w:uiPriority w:val="99"/>
    <w:unhideWhenUsed/>
    <w:rsid w:val="007F1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4932</Characters>
  <Application>Microsoft Office Word</Application>
  <DocSecurity>0</DocSecurity>
  <Lines>145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Ben</dc:creator>
  <cp:keywords/>
  <dc:description/>
  <cp:lastModifiedBy>Ben Johnson</cp:lastModifiedBy>
  <cp:revision>2</cp:revision>
  <dcterms:created xsi:type="dcterms:W3CDTF">2026-02-03T17:14:00Z</dcterms:created>
  <dcterms:modified xsi:type="dcterms:W3CDTF">2026-02-03T17:14:00Z</dcterms:modified>
</cp:coreProperties>
</file>