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1799" w14:textId="4B658572" w:rsidR="00CC0951" w:rsidRPr="00B82974" w:rsidRDefault="00D6177C" w:rsidP="006949E8">
      <w:pPr>
        <w:rPr>
          <w:rFonts w:ascii="Times New Roman" w:hAnsi="Times New Roman"/>
          <w:sz w:val="24"/>
          <w:szCs w:val="24"/>
          <w:u w:val="single"/>
        </w:rPr>
      </w:pPr>
      <w:r w:rsidRPr="00B8297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3DEFB" wp14:editId="477E17D8">
                <wp:simplePos x="0" y="0"/>
                <wp:positionH relativeFrom="margin">
                  <wp:posOffset>3724275</wp:posOffset>
                </wp:positionH>
                <wp:positionV relativeFrom="margin">
                  <wp:posOffset>-457200</wp:posOffset>
                </wp:positionV>
                <wp:extent cx="2514600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4278" w14:textId="38133515" w:rsidR="00E80D89" w:rsidRPr="00E80D89" w:rsidRDefault="00E80D89" w:rsidP="00E80D8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80D89">
                              <w:rPr>
                                <w:rFonts w:ascii="Times New Roman" w:hAnsi="Times New Roman"/>
                              </w:rPr>
                              <w:t>Approved:</w:t>
                            </w:r>
                            <w:r w:rsidR="00D6177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6177C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5F9719C" wp14:editId="10BD474D">
                                  <wp:extent cx="150495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4B25D" w14:textId="77777777" w:rsidR="00E80D89" w:rsidRDefault="00E80D89" w:rsidP="000E021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80D89">
                              <w:rPr>
                                <w:rFonts w:ascii="Times New Roman" w:hAnsi="Times New Roman"/>
                              </w:rPr>
                              <w:t xml:space="preserve">Date: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October 2015</w:t>
                            </w:r>
                          </w:p>
                          <w:p w14:paraId="4B7B592D" w14:textId="77777777" w:rsidR="000E0211" w:rsidRPr="00E80D89" w:rsidRDefault="000E0211" w:rsidP="00E80D89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C01A9B">
                              <w:rPr>
                                <w:rFonts w:ascii="Times New Roman" w:hAnsi="Times New Roman"/>
                              </w:rPr>
                              <w:t>January</w:t>
                            </w:r>
                            <w:r w:rsidR="00B82974">
                              <w:rPr>
                                <w:rFonts w:ascii="Times New Roman" w:hAnsi="Times New Roman"/>
                              </w:rPr>
                              <w:t xml:space="preserve"> 202</w:t>
                            </w:r>
                            <w:r w:rsidR="00C01A9B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  <w:p w14:paraId="5618E073" w14:textId="6470DF65" w:rsidR="00E80D89" w:rsidRPr="00222D4A" w:rsidRDefault="00E80D89" w:rsidP="00E80D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3D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25pt;margin-top:-36pt;width:198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">
                <v:textbox>
                  <w:txbxContent>
                    <w:p w14:paraId="0D2A4278" w14:textId="38133515" w:rsidR="00E80D89" w:rsidRPr="00E80D89" w:rsidRDefault="00E80D89" w:rsidP="00E80D8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80D89">
                        <w:rPr>
                          <w:rFonts w:ascii="Times New Roman" w:hAnsi="Times New Roman"/>
                        </w:rPr>
                        <w:t>Approved:</w:t>
                      </w:r>
                      <w:r w:rsidR="00D6177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6177C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55F9719C" wp14:editId="10BD474D">
                            <wp:extent cx="150495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4B25D" w14:textId="77777777" w:rsidR="00E80D89" w:rsidRDefault="00E80D89" w:rsidP="000E021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80D89">
                        <w:rPr>
                          <w:rFonts w:ascii="Times New Roman" w:hAnsi="Times New Roman"/>
                        </w:rPr>
                        <w:t xml:space="preserve">Date: </w:t>
                      </w:r>
                      <w:r>
                        <w:rPr>
                          <w:rFonts w:ascii="Times New Roman" w:hAnsi="Times New Roman"/>
                        </w:rPr>
                        <w:t>October 2015</w:t>
                      </w:r>
                    </w:p>
                    <w:p w14:paraId="4B7B592D" w14:textId="77777777" w:rsidR="000E0211" w:rsidRPr="00E80D89" w:rsidRDefault="000E0211" w:rsidP="00E80D89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C01A9B">
                        <w:rPr>
                          <w:rFonts w:ascii="Times New Roman" w:hAnsi="Times New Roman"/>
                        </w:rPr>
                        <w:t>January</w:t>
                      </w:r>
                      <w:r w:rsidR="00B82974">
                        <w:rPr>
                          <w:rFonts w:ascii="Times New Roman" w:hAnsi="Times New Roman"/>
                        </w:rPr>
                        <w:t xml:space="preserve"> 202</w:t>
                      </w:r>
                      <w:r w:rsidR="00C01A9B">
                        <w:rPr>
                          <w:rFonts w:ascii="Times New Roman" w:hAnsi="Times New Roman"/>
                        </w:rPr>
                        <w:t>4</w:t>
                      </w:r>
                    </w:p>
                    <w:p w14:paraId="5618E073" w14:textId="6470DF65" w:rsidR="00E80D89" w:rsidRPr="00222D4A" w:rsidRDefault="00E80D89" w:rsidP="00E80D8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9343B" w:rsidRPr="00B82974">
        <w:rPr>
          <w:rFonts w:ascii="Times New Roman" w:hAnsi="Times New Roman"/>
          <w:b/>
          <w:i/>
          <w:sz w:val="28"/>
          <w:szCs w:val="28"/>
        </w:rPr>
        <w:t>Presumptive Discharge</w:t>
      </w:r>
      <w:r w:rsidR="00CC0951" w:rsidRPr="00B82974">
        <w:rPr>
          <w:rFonts w:ascii="Times New Roman" w:hAnsi="Times New Roman"/>
          <w:b/>
          <w:i/>
          <w:sz w:val="28"/>
          <w:szCs w:val="28"/>
        </w:rPr>
        <w:t xml:space="preserve"> (Early Release)</w:t>
      </w:r>
      <w:r w:rsidR="00714E7E" w:rsidRPr="00B82974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17EA1C94" w14:textId="77777777" w:rsidR="00714E7E" w:rsidRPr="00B82974" w:rsidRDefault="00714E7E" w:rsidP="00714E7E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B5724FF" w14:textId="77777777" w:rsidR="00B02140" w:rsidRPr="00B82974" w:rsidRDefault="00714E7E" w:rsidP="006949E8">
      <w:pPr>
        <w:pStyle w:val="ListParagraph"/>
        <w:numPr>
          <w:ilvl w:val="0"/>
          <w:numId w:val="20"/>
        </w:numPr>
        <w:ind w:left="720" w:hanging="630"/>
        <w:rPr>
          <w:rFonts w:ascii="Times New Roman" w:hAnsi="Times New Roman"/>
          <w:b/>
        </w:rPr>
      </w:pPr>
      <w:r w:rsidRPr="00B82974">
        <w:rPr>
          <w:rFonts w:ascii="Times New Roman" w:hAnsi="Times New Roman"/>
          <w:b/>
        </w:rPr>
        <w:t>Policy</w:t>
      </w:r>
    </w:p>
    <w:p w14:paraId="29330C33" w14:textId="77777777" w:rsidR="00CC0951" w:rsidRPr="00B82974" w:rsidRDefault="00CC0951" w:rsidP="00714E7E">
      <w:pPr>
        <w:spacing w:after="0"/>
        <w:ind w:left="720"/>
        <w:rPr>
          <w:rFonts w:ascii="Times New Roman" w:hAnsi="Times New Roman"/>
          <w:bCs/>
        </w:rPr>
      </w:pPr>
      <w:r w:rsidRPr="00B82974">
        <w:rPr>
          <w:rFonts w:ascii="Times New Roman" w:hAnsi="Times New Roman"/>
        </w:rPr>
        <w:t xml:space="preserve">Probation staff shall forward a request for early release </w:t>
      </w:r>
      <w:r w:rsidR="00F43378" w:rsidRPr="00B82974">
        <w:rPr>
          <w:rFonts w:ascii="Times New Roman" w:hAnsi="Times New Roman"/>
        </w:rPr>
        <w:t xml:space="preserve">to the sentencing court </w:t>
      </w:r>
      <w:r w:rsidRPr="00B82974">
        <w:rPr>
          <w:rFonts w:ascii="Times New Roman" w:hAnsi="Times New Roman"/>
        </w:rPr>
        <w:t>in all cases meeting the criteria for presumptive</w:t>
      </w:r>
      <w:r w:rsidR="00F43378" w:rsidRPr="00B82974">
        <w:rPr>
          <w:rFonts w:ascii="Times New Roman" w:hAnsi="Times New Roman"/>
        </w:rPr>
        <w:t xml:space="preserve"> discharge as defined in </w:t>
      </w:r>
      <w:r w:rsidRPr="00B82974">
        <w:rPr>
          <w:rFonts w:ascii="Times New Roman" w:hAnsi="Times New Roman"/>
        </w:rPr>
        <w:t xml:space="preserve">Nebraska Supreme Court Rule </w:t>
      </w:r>
      <w:r w:rsidRPr="00B82974">
        <w:rPr>
          <w:rFonts w:ascii="Times New Roman" w:hAnsi="Times New Roman"/>
          <w:bCs/>
        </w:rPr>
        <w:t>§ 6-1903</w:t>
      </w:r>
      <w:r w:rsidR="00F43378" w:rsidRPr="00B82974">
        <w:rPr>
          <w:rFonts w:ascii="Times New Roman" w:hAnsi="Times New Roman"/>
          <w:bCs/>
        </w:rPr>
        <w:t>.</w:t>
      </w:r>
    </w:p>
    <w:p w14:paraId="2667D7E5" w14:textId="77777777" w:rsidR="006949E8" w:rsidRPr="00B82974" w:rsidRDefault="006949E8" w:rsidP="00714E7E">
      <w:pPr>
        <w:spacing w:after="0"/>
        <w:ind w:left="720"/>
        <w:rPr>
          <w:rFonts w:ascii="Times New Roman" w:hAnsi="Times New Roman"/>
          <w:bCs/>
          <w:color w:val="1F4E79"/>
          <w:u w:val="single"/>
        </w:rPr>
      </w:pPr>
    </w:p>
    <w:p w14:paraId="78D23E16" w14:textId="77777777" w:rsidR="00774A52" w:rsidRPr="00B82974" w:rsidRDefault="00714E7E" w:rsidP="006949E8">
      <w:pPr>
        <w:pStyle w:val="ListParagraph"/>
        <w:numPr>
          <w:ilvl w:val="0"/>
          <w:numId w:val="20"/>
        </w:numPr>
        <w:ind w:left="720"/>
        <w:rPr>
          <w:rFonts w:ascii="Times New Roman" w:hAnsi="Times New Roman"/>
          <w:b/>
        </w:rPr>
      </w:pPr>
      <w:r w:rsidRPr="00B82974">
        <w:rPr>
          <w:rFonts w:ascii="Times New Roman" w:hAnsi="Times New Roman"/>
          <w:b/>
        </w:rPr>
        <w:t>Purpose</w:t>
      </w:r>
    </w:p>
    <w:p w14:paraId="34A4C04A" w14:textId="77777777" w:rsidR="00221F63" w:rsidRPr="00B82974" w:rsidRDefault="00E27ADC" w:rsidP="00714E7E">
      <w:pPr>
        <w:spacing w:after="0"/>
        <w:ind w:left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To ensure </w:t>
      </w:r>
      <w:r w:rsidR="00070379" w:rsidRPr="00B82974">
        <w:rPr>
          <w:rFonts w:ascii="Times New Roman" w:hAnsi="Times New Roman"/>
        </w:rPr>
        <w:t xml:space="preserve">the length of supervision is consistent with the risk and need of individuals and </w:t>
      </w:r>
      <w:r w:rsidRPr="00B82974">
        <w:rPr>
          <w:rFonts w:ascii="Times New Roman" w:hAnsi="Times New Roman"/>
        </w:rPr>
        <w:t>fully incorporated into probation supervision practices by providing structure for early discharge</w:t>
      </w:r>
      <w:r w:rsidR="00070379" w:rsidRPr="00B82974">
        <w:rPr>
          <w:rFonts w:ascii="Times New Roman" w:hAnsi="Times New Roman"/>
        </w:rPr>
        <w:t xml:space="preserve"> where appropriate</w:t>
      </w:r>
      <w:r w:rsidR="004D695E" w:rsidRPr="00B82974">
        <w:rPr>
          <w:rFonts w:ascii="Times New Roman" w:hAnsi="Times New Roman"/>
        </w:rPr>
        <w:t xml:space="preserve">, thereby maximizing probation resources. </w:t>
      </w:r>
    </w:p>
    <w:p w14:paraId="2F7198BF" w14:textId="77777777" w:rsidR="00714E7E" w:rsidRPr="00B82974" w:rsidRDefault="00714E7E" w:rsidP="00714E7E">
      <w:pPr>
        <w:spacing w:after="0"/>
        <w:ind w:left="720"/>
        <w:rPr>
          <w:rFonts w:ascii="Times New Roman" w:hAnsi="Times New Roman"/>
        </w:rPr>
      </w:pPr>
    </w:p>
    <w:p w14:paraId="33FDA444" w14:textId="77777777" w:rsidR="00F43378" w:rsidRPr="00B82974" w:rsidRDefault="00714E7E" w:rsidP="006949E8">
      <w:pPr>
        <w:pStyle w:val="ListParagraph"/>
        <w:numPr>
          <w:ilvl w:val="0"/>
          <w:numId w:val="20"/>
        </w:numPr>
        <w:ind w:left="720"/>
        <w:rPr>
          <w:rFonts w:ascii="Times New Roman" w:hAnsi="Times New Roman"/>
          <w:b/>
        </w:rPr>
      </w:pPr>
      <w:r w:rsidRPr="00B82974">
        <w:rPr>
          <w:rFonts w:ascii="Times New Roman" w:hAnsi="Times New Roman"/>
          <w:b/>
        </w:rPr>
        <w:t>Reference</w:t>
      </w:r>
    </w:p>
    <w:p w14:paraId="2493861E" w14:textId="77777777" w:rsidR="00F43378" w:rsidRPr="00B82974" w:rsidRDefault="00F43378" w:rsidP="006B5AFE">
      <w:pPr>
        <w:pStyle w:val="NoSpacing"/>
        <w:ind w:left="720"/>
        <w:rPr>
          <w:rFonts w:ascii="Times New Roman" w:hAnsi="Times New Roman"/>
          <w:bCs/>
          <w:color w:val="0033CC"/>
        </w:rPr>
      </w:pPr>
      <w:r w:rsidRPr="00B82974">
        <w:rPr>
          <w:rFonts w:ascii="Times New Roman" w:hAnsi="Times New Roman"/>
          <w:color w:val="0033CC"/>
        </w:rPr>
        <w:t xml:space="preserve">Supreme Court Rule </w:t>
      </w:r>
      <w:r w:rsidRPr="00B82974">
        <w:rPr>
          <w:rFonts w:ascii="Times New Roman" w:hAnsi="Times New Roman"/>
          <w:bCs/>
          <w:color w:val="0033CC"/>
        </w:rPr>
        <w:t>§ 6-1903</w:t>
      </w:r>
    </w:p>
    <w:p w14:paraId="4A8CF654" w14:textId="77777777" w:rsidR="006949E8" w:rsidRPr="00B82974" w:rsidRDefault="006949E8" w:rsidP="006B5AFE">
      <w:pPr>
        <w:pStyle w:val="NoSpacing"/>
        <w:ind w:left="720"/>
        <w:rPr>
          <w:rFonts w:ascii="Times New Roman" w:hAnsi="Times New Roman"/>
          <w:bCs/>
          <w:color w:val="0033CC"/>
        </w:rPr>
      </w:pPr>
    </w:p>
    <w:p w14:paraId="1CD2CEA8" w14:textId="77777777" w:rsidR="00F43378" w:rsidRPr="00B82974" w:rsidRDefault="002A1C9B" w:rsidP="006B5AFE">
      <w:pPr>
        <w:pStyle w:val="NoSpacing"/>
        <w:ind w:left="720"/>
        <w:rPr>
          <w:rFonts w:ascii="Times New Roman" w:hAnsi="Times New Roman"/>
          <w:color w:val="0033CC"/>
        </w:rPr>
      </w:pPr>
      <w:r w:rsidRPr="00B82974">
        <w:rPr>
          <w:rFonts w:ascii="Times New Roman" w:hAnsi="Times New Roman"/>
          <w:color w:val="0033CC"/>
        </w:rPr>
        <w:t>Neb</w:t>
      </w:r>
      <w:r w:rsidR="00630E4B" w:rsidRPr="00B82974">
        <w:rPr>
          <w:rFonts w:ascii="Times New Roman" w:hAnsi="Times New Roman"/>
          <w:color w:val="0033CC"/>
        </w:rPr>
        <w:t>. Revised Statute 29-225</w:t>
      </w:r>
      <w:r w:rsidR="00F43378" w:rsidRPr="00B82974">
        <w:rPr>
          <w:rFonts w:ascii="Times New Roman" w:hAnsi="Times New Roman"/>
          <w:color w:val="0033CC"/>
        </w:rPr>
        <w:t>2</w:t>
      </w:r>
      <w:r w:rsidR="00630E4B" w:rsidRPr="00B82974">
        <w:rPr>
          <w:rFonts w:ascii="Times New Roman" w:hAnsi="Times New Roman"/>
          <w:color w:val="0033CC"/>
        </w:rPr>
        <w:t>(7)</w:t>
      </w:r>
      <w:r w:rsidR="00AA2325" w:rsidRPr="00B82974">
        <w:rPr>
          <w:rFonts w:ascii="Times New Roman" w:hAnsi="Times New Roman"/>
          <w:color w:val="0033CC"/>
        </w:rPr>
        <w:t xml:space="preserve"> and </w:t>
      </w:r>
      <w:r w:rsidR="00630E4B" w:rsidRPr="00B82974">
        <w:rPr>
          <w:rFonts w:ascii="Times New Roman" w:hAnsi="Times New Roman"/>
          <w:color w:val="0033CC"/>
        </w:rPr>
        <w:t>(11)</w:t>
      </w:r>
    </w:p>
    <w:p w14:paraId="5E4ECA36" w14:textId="77777777" w:rsidR="006949E8" w:rsidRPr="00B82974" w:rsidRDefault="006949E8" w:rsidP="006B5AFE">
      <w:pPr>
        <w:pStyle w:val="NoSpacing"/>
        <w:ind w:left="720"/>
        <w:rPr>
          <w:rFonts w:ascii="Times New Roman" w:hAnsi="Times New Roman"/>
          <w:color w:val="0033CC"/>
        </w:rPr>
      </w:pPr>
    </w:p>
    <w:p w14:paraId="0FB068E4" w14:textId="77777777" w:rsidR="00AA2325" w:rsidRPr="00B82974" w:rsidRDefault="002A1C9B" w:rsidP="006B5AFE">
      <w:pPr>
        <w:pStyle w:val="NoSpacing"/>
        <w:ind w:left="720"/>
        <w:rPr>
          <w:rFonts w:ascii="Times New Roman" w:hAnsi="Times New Roman"/>
          <w:color w:val="0033CC"/>
        </w:rPr>
      </w:pPr>
      <w:r w:rsidRPr="00B82974">
        <w:rPr>
          <w:rFonts w:ascii="Times New Roman" w:hAnsi="Times New Roman"/>
          <w:color w:val="0033CC"/>
        </w:rPr>
        <w:t>Neb</w:t>
      </w:r>
      <w:r w:rsidR="00AA2325" w:rsidRPr="00B82974">
        <w:rPr>
          <w:rFonts w:ascii="Times New Roman" w:hAnsi="Times New Roman"/>
          <w:color w:val="0033CC"/>
        </w:rPr>
        <w:t>. Revised Statute 29-2263(1) and (2)</w:t>
      </w:r>
    </w:p>
    <w:p w14:paraId="7DB49C2F" w14:textId="77777777" w:rsidR="006B5AFE" w:rsidRPr="00B82974" w:rsidRDefault="006B5AFE" w:rsidP="006B5AFE">
      <w:pPr>
        <w:pStyle w:val="NoSpacing"/>
        <w:ind w:left="720"/>
        <w:rPr>
          <w:rFonts w:ascii="Times New Roman" w:hAnsi="Times New Roman"/>
        </w:rPr>
      </w:pPr>
    </w:p>
    <w:p w14:paraId="14D8C178" w14:textId="77777777" w:rsidR="00F43378" w:rsidRPr="00B82974" w:rsidRDefault="006B5AFE" w:rsidP="006949E8">
      <w:pPr>
        <w:pStyle w:val="ListParagraph"/>
        <w:numPr>
          <w:ilvl w:val="0"/>
          <w:numId w:val="20"/>
        </w:numPr>
        <w:tabs>
          <w:tab w:val="left" w:pos="1170"/>
        </w:tabs>
        <w:ind w:left="720"/>
        <w:rPr>
          <w:rFonts w:ascii="Times New Roman" w:hAnsi="Times New Roman"/>
          <w:b/>
        </w:rPr>
      </w:pPr>
      <w:r w:rsidRPr="00B82974">
        <w:rPr>
          <w:rFonts w:ascii="Times New Roman" w:hAnsi="Times New Roman"/>
          <w:b/>
        </w:rPr>
        <w:t>Procedure</w:t>
      </w:r>
    </w:p>
    <w:p w14:paraId="5A82DEF3" w14:textId="77777777" w:rsidR="007E001A" w:rsidRPr="00B82974" w:rsidRDefault="007E001A" w:rsidP="007E001A">
      <w:pPr>
        <w:pStyle w:val="ListParagraph"/>
        <w:tabs>
          <w:tab w:val="left" w:pos="1170"/>
        </w:tabs>
        <w:rPr>
          <w:rFonts w:ascii="Times New Roman" w:hAnsi="Times New Roman"/>
          <w:b/>
        </w:rPr>
      </w:pPr>
    </w:p>
    <w:p w14:paraId="69AFFF9E" w14:textId="77777777" w:rsidR="00774A52" w:rsidRPr="00B82974" w:rsidRDefault="00E27ADC" w:rsidP="006B5AFE">
      <w:pPr>
        <w:pStyle w:val="ListParagraph"/>
        <w:numPr>
          <w:ilvl w:val="0"/>
          <w:numId w:val="12"/>
        </w:numPr>
        <w:ind w:left="144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>D</w:t>
      </w:r>
      <w:r w:rsidR="0041316A" w:rsidRPr="00B82974">
        <w:rPr>
          <w:rFonts w:ascii="Times New Roman" w:hAnsi="Times New Roman"/>
        </w:rPr>
        <w:t>efinitions</w:t>
      </w:r>
      <w:r w:rsidR="00A92AFA" w:rsidRPr="00B82974">
        <w:rPr>
          <w:rFonts w:ascii="Times New Roman" w:hAnsi="Times New Roman"/>
        </w:rPr>
        <w:t>:</w:t>
      </w:r>
    </w:p>
    <w:p w14:paraId="1FEE4D75" w14:textId="77777777" w:rsidR="006B5AFE" w:rsidRPr="00B82974" w:rsidRDefault="006B5AFE" w:rsidP="006B5AFE">
      <w:pPr>
        <w:pStyle w:val="ListParagraph"/>
        <w:rPr>
          <w:rFonts w:ascii="Times New Roman" w:hAnsi="Times New Roman"/>
        </w:rPr>
      </w:pPr>
    </w:p>
    <w:p w14:paraId="141E3B0D" w14:textId="77777777" w:rsidR="006B5AFE" w:rsidRPr="00B82974" w:rsidRDefault="002202B9" w:rsidP="006B5AFE">
      <w:pPr>
        <w:pStyle w:val="ListParagraph"/>
        <w:numPr>
          <w:ilvl w:val="0"/>
          <w:numId w:val="13"/>
        </w:numPr>
        <w:spacing w:after="0"/>
        <w:ind w:left="2160" w:hanging="720"/>
        <w:rPr>
          <w:rFonts w:ascii="Times New Roman" w:hAnsi="Times New Roman"/>
          <w:strike/>
        </w:rPr>
      </w:pPr>
      <w:r w:rsidRPr="00B82974">
        <w:rPr>
          <w:rFonts w:ascii="Times New Roman" w:hAnsi="Times New Roman"/>
        </w:rPr>
        <w:t>M</w:t>
      </w:r>
      <w:r w:rsidR="00A92AFA" w:rsidRPr="00B82974">
        <w:rPr>
          <w:rFonts w:ascii="Times New Roman" w:hAnsi="Times New Roman"/>
        </w:rPr>
        <w:t>ajor V</w:t>
      </w:r>
      <w:r w:rsidR="00221F63" w:rsidRPr="00B82974">
        <w:rPr>
          <w:rFonts w:ascii="Times New Roman" w:hAnsi="Times New Roman"/>
        </w:rPr>
        <w:t>iolations</w:t>
      </w:r>
      <w:r w:rsidR="00A92AFA" w:rsidRPr="00B82974">
        <w:rPr>
          <w:rFonts w:ascii="Times New Roman" w:hAnsi="Times New Roman"/>
        </w:rPr>
        <w:t>:</w:t>
      </w:r>
      <w:r w:rsidR="00221F63" w:rsidRPr="00B82974">
        <w:rPr>
          <w:rFonts w:ascii="Times New Roman" w:hAnsi="Times New Roman"/>
        </w:rPr>
        <w:t xml:space="preserve"> </w:t>
      </w:r>
      <w:r w:rsidR="00A70EB5" w:rsidRPr="00B82974">
        <w:rPr>
          <w:rFonts w:ascii="Times New Roman" w:hAnsi="Times New Roman"/>
        </w:rPr>
        <w:t>include</w:t>
      </w:r>
      <w:r w:rsidRPr="00B82974">
        <w:rPr>
          <w:rFonts w:ascii="Times New Roman" w:hAnsi="Times New Roman"/>
        </w:rPr>
        <w:t xml:space="preserve"> new law violation</w:t>
      </w:r>
      <w:r w:rsidR="00A70EB5" w:rsidRPr="00B82974">
        <w:rPr>
          <w:rFonts w:ascii="Times New Roman" w:hAnsi="Times New Roman"/>
        </w:rPr>
        <w:t>s</w:t>
      </w:r>
      <w:r w:rsidRPr="00B82974">
        <w:rPr>
          <w:rFonts w:ascii="Times New Roman" w:hAnsi="Times New Roman"/>
        </w:rPr>
        <w:t xml:space="preserve">, absconding from supervision, </w:t>
      </w:r>
      <w:r w:rsidR="00A70EB5" w:rsidRPr="00B82974">
        <w:rPr>
          <w:rFonts w:ascii="Times New Roman" w:hAnsi="Times New Roman"/>
        </w:rPr>
        <w:t xml:space="preserve">or continued evidence of </w:t>
      </w:r>
      <w:proofErr w:type="gramStart"/>
      <w:r w:rsidR="00A70EB5" w:rsidRPr="00B82974">
        <w:rPr>
          <w:rFonts w:ascii="Times New Roman" w:hAnsi="Times New Roman"/>
        </w:rPr>
        <w:t>high risk</w:t>
      </w:r>
      <w:proofErr w:type="gramEnd"/>
      <w:r w:rsidR="00A70EB5" w:rsidRPr="00B82974">
        <w:rPr>
          <w:rFonts w:ascii="Times New Roman" w:hAnsi="Times New Roman"/>
        </w:rPr>
        <w:t xml:space="preserve"> behaviors. </w:t>
      </w:r>
    </w:p>
    <w:p w14:paraId="66CC2861" w14:textId="77777777" w:rsidR="00E27ADC" w:rsidRPr="00B82974" w:rsidRDefault="00A70EB5" w:rsidP="006B5AFE">
      <w:pPr>
        <w:pStyle w:val="ListParagraph"/>
        <w:spacing w:after="0"/>
        <w:ind w:left="1440"/>
        <w:rPr>
          <w:rFonts w:ascii="Times New Roman" w:hAnsi="Times New Roman"/>
          <w:strike/>
        </w:rPr>
      </w:pPr>
      <w:r w:rsidRPr="00B82974">
        <w:rPr>
          <w:rFonts w:ascii="Times New Roman" w:hAnsi="Times New Roman"/>
        </w:rPr>
        <w:t xml:space="preserve"> </w:t>
      </w:r>
    </w:p>
    <w:p w14:paraId="4135F618" w14:textId="77777777" w:rsidR="00F43378" w:rsidRPr="00B82974" w:rsidRDefault="00F43378" w:rsidP="006B5AFE">
      <w:pPr>
        <w:pStyle w:val="ListParagraph"/>
        <w:numPr>
          <w:ilvl w:val="0"/>
          <w:numId w:val="12"/>
        </w:numPr>
        <w:ind w:left="144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>C</w:t>
      </w:r>
      <w:r w:rsidR="0041316A" w:rsidRPr="00B82974">
        <w:rPr>
          <w:rFonts w:ascii="Times New Roman" w:hAnsi="Times New Roman"/>
        </w:rPr>
        <w:t>riteria for an early discharge for probationers</w:t>
      </w:r>
    </w:p>
    <w:p w14:paraId="4E2EBCED" w14:textId="77777777" w:rsidR="006B5AFE" w:rsidRPr="00B82974" w:rsidRDefault="006B5AFE" w:rsidP="006B5AFE">
      <w:pPr>
        <w:pStyle w:val="ListParagraph"/>
        <w:ind w:left="1440"/>
        <w:rPr>
          <w:rFonts w:ascii="Times New Roman" w:hAnsi="Times New Roman"/>
        </w:rPr>
      </w:pPr>
    </w:p>
    <w:p w14:paraId="7212B180" w14:textId="77777777" w:rsidR="00630E4B" w:rsidRPr="00B82974" w:rsidRDefault="00630E4B" w:rsidP="006B5AFE">
      <w:pPr>
        <w:pStyle w:val="ListParagraph"/>
        <w:numPr>
          <w:ilvl w:val="0"/>
          <w:numId w:val="15"/>
        </w:numPr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Pursuant to statute the court may consider early discharge at any time. </w:t>
      </w:r>
    </w:p>
    <w:p w14:paraId="523080CC" w14:textId="77777777" w:rsidR="00630E4B" w:rsidRPr="00B82974" w:rsidRDefault="00630E4B" w:rsidP="006B5AFE">
      <w:pPr>
        <w:pStyle w:val="ListParagraph"/>
        <w:ind w:left="2160" w:hanging="720"/>
        <w:rPr>
          <w:rFonts w:ascii="Times New Roman" w:hAnsi="Times New Roman"/>
        </w:rPr>
      </w:pPr>
    </w:p>
    <w:p w14:paraId="29C9F158" w14:textId="77777777" w:rsidR="00F43378" w:rsidRPr="00B82974" w:rsidRDefault="00F43378" w:rsidP="006B5AFE">
      <w:pPr>
        <w:pStyle w:val="ListParagraph"/>
        <w:numPr>
          <w:ilvl w:val="0"/>
          <w:numId w:val="15"/>
        </w:numPr>
        <w:spacing w:after="0"/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>Notwithstanding interstate compact cases, a probation officer will petition the court for early discharge when:</w:t>
      </w:r>
    </w:p>
    <w:p w14:paraId="433C91A3" w14:textId="77777777" w:rsidR="006B5AFE" w:rsidRPr="00B82974" w:rsidRDefault="006B5AFE" w:rsidP="006B5AFE">
      <w:pPr>
        <w:spacing w:after="0"/>
        <w:rPr>
          <w:rFonts w:ascii="Times New Roman" w:hAnsi="Times New Roman"/>
        </w:rPr>
      </w:pPr>
    </w:p>
    <w:p w14:paraId="05ABFDCC" w14:textId="77777777" w:rsidR="00F43378" w:rsidRPr="00B82974" w:rsidRDefault="00AA2325" w:rsidP="006B5AFE">
      <w:pPr>
        <w:numPr>
          <w:ilvl w:val="1"/>
          <w:numId w:val="16"/>
        </w:numPr>
        <w:ind w:left="288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The </w:t>
      </w:r>
      <w:r w:rsidR="004A7CB4" w:rsidRPr="00B82974">
        <w:rPr>
          <w:rFonts w:ascii="Times New Roman" w:hAnsi="Times New Roman"/>
        </w:rPr>
        <w:t>individual</w:t>
      </w:r>
      <w:r w:rsidRPr="00B82974">
        <w:rPr>
          <w:rFonts w:ascii="Times New Roman" w:hAnsi="Times New Roman"/>
        </w:rPr>
        <w:t xml:space="preserve"> has served</w:t>
      </w:r>
      <w:r w:rsidR="00F43378" w:rsidRPr="00B82974">
        <w:rPr>
          <w:rFonts w:ascii="Times New Roman" w:hAnsi="Times New Roman"/>
        </w:rPr>
        <w:t xml:space="preserve"> three-quarters of the imposed </w:t>
      </w:r>
      <w:proofErr w:type="gramStart"/>
      <w:r w:rsidR="00F43378" w:rsidRPr="00B82974">
        <w:rPr>
          <w:rFonts w:ascii="Times New Roman" w:hAnsi="Times New Roman"/>
        </w:rPr>
        <w:t>sentence;</w:t>
      </w:r>
      <w:proofErr w:type="gramEnd"/>
      <w:r w:rsidR="00F43378" w:rsidRPr="00B82974">
        <w:rPr>
          <w:rFonts w:ascii="Times New Roman" w:hAnsi="Times New Roman"/>
        </w:rPr>
        <w:t xml:space="preserve"> </w:t>
      </w:r>
    </w:p>
    <w:p w14:paraId="32343DF2" w14:textId="77777777" w:rsidR="00F43378" w:rsidRPr="00B82974" w:rsidRDefault="00F43378" w:rsidP="006B5AFE">
      <w:pPr>
        <w:numPr>
          <w:ilvl w:val="1"/>
          <w:numId w:val="16"/>
        </w:numPr>
        <w:ind w:left="288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There have been no major violations during the preceding six </w:t>
      </w:r>
      <w:proofErr w:type="gramStart"/>
      <w:r w:rsidRPr="00B82974">
        <w:rPr>
          <w:rFonts w:ascii="Times New Roman" w:hAnsi="Times New Roman"/>
        </w:rPr>
        <w:t>months;</w:t>
      </w:r>
      <w:proofErr w:type="gramEnd"/>
    </w:p>
    <w:p w14:paraId="193947A8" w14:textId="77777777" w:rsidR="00F43378" w:rsidRPr="00B82974" w:rsidRDefault="00F43378" w:rsidP="006B5AFE">
      <w:pPr>
        <w:pStyle w:val="ListParagraph"/>
        <w:numPr>
          <w:ilvl w:val="1"/>
          <w:numId w:val="16"/>
        </w:numPr>
        <w:ind w:left="288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The </w:t>
      </w:r>
      <w:r w:rsidR="004A7CB4" w:rsidRPr="00B82974">
        <w:rPr>
          <w:rFonts w:ascii="Times New Roman" w:hAnsi="Times New Roman"/>
        </w:rPr>
        <w:t>individual</w:t>
      </w:r>
      <w:r w:rsidRPr="00B82974">
        <w:rPr>
          <w:rFonts w:ascii="Times New Roman" w:hAnsi="Times New Roman"/>
        </w:rPr>
        <w:t xml:space="preserve"> </w:t>
      </w:r>
      <w:proofErr w:type="gramStart"/>
      <w:r w:rsidRPr="00B82974">
        <w:rPr>
          <w:rFonts w:ascii="Times New Roman" w:hAnsi="Times New Roman"/>
        </w:rPr>
        <w:t>is in compliance with</w:t>
      </w:r>
      <w:proofErr w:type="gramEnd"/>
      <w:r w:rsidRPr="00B82974">
        <w:rPr>
          <w:rFonts w:ascii="Times New Roman" w:hAnsi="Times New Roman"/>
        </w:rPr>
        <w:t xml:space="preserve"> all other conditions, including but not limited to being current on fees owed, and restitution and fines are paid in full.  </w:t>
      </w:r>
    </w:p>
    <w:p w14:paraId="457EAA3C" w14:textId="77777777" w:rsidR="00132BEE" w:rsidRPr="00B82974" w:rsidRDefault="00132BEE" w:rsidP="00132BEE">
      <w:pPr>
        <w:rPr>
          <w:rFonts w:ascii="Times New Roman" w:hAnsi="Times New Roman"/>
        </w:rPr>
      </w:pPr>
    </w:p>
    <w:p w14:paraId="27558E19" w14:textId="77777777" w:rsidR="00132BEE" w:rsidRPr="00B82974" w:rsidRDefault="00132BEE" w:rsidP="00132BEE">
      <w:pPr>
        <w:rPr>
          <w:rFonts w:ascii="Times New Roman" w:hAnsi="Times New Roman"/>
        </w:rPr>
      </w:pPr>
    </w:p>
    <w:p w14:paraId="183927CE" w14:textId="77777777" w:rsidR="006B5AFE" w:rsidRPr="00B82974" w:rsidRDefault="006B5AFE" w:rsidP="006B5AFE">
      <w:pPr>
        <w:pStyle w:val="ListParagraph"/>
        <w:ind w:left="2880"/>
        <w:rPr>
          <w:rFonts w:ascii="Times New Roman" w:hAnsi="Times New Roman"/>
        </w:rPr>
      </w:pPr>
    </w:p>
    <w:p w14:paraId="63B8D1B1" w14:textId="77777777" w:rsidR="00132BEE" w:rsidRPr="00B82974" w:rsidRDefault="00F43378" w:rsidP="00132BEE">
      <w:pPr>
        <w:pStyle w:val="ListParagraph"/>
        <w:numPr>
          <w:ilvl w:val="1"/>
          <w:numId w:val="16"/>
        </w:numPr>
        <w:ind w:left="288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lastRenderedPageBreak/>
        <w:t xml:space="preserve">The assessed risk level indicates the individual is </w:t>
      </w:r>
      <w:r w:rsidR="00F8545C" w:rsidRPr="00B82974">
        <w:rPr>
          <w:rFonts w:ascii="Times New Roman" w:hAnsi="Times New Roman"/>
        </w:rPr>
        <w:t>at a reduced risk of recidivism.</w:t>
      </w:r>
      <w:r w:rsidR="00114324" w:rsidRPr="00B82974">
        <w:rPr>
          <w:rFonts w:ascii="Times New Roman" w:hAnsi="Times New Roman"/>
        </w:rPr>
        <w:t xml:space="preserve">  </w:t>
      </w:r>
    </w:p>
    <w:p w14:paraId="4451548F" w14:textId="77777777" w:rsidR="00132BEE" w:rsidRPr="00B82974" w:rsidRDefault="00132BEE" w:rsidP="00132BEE">
      <w:pPr>
        <w:pStyle w:val="ListParagraph"/>
        <w:rPr>
          <w:rFonts w:ascii="Times New Roman" w:hAnsi="Times New Roman"/>
          <w:color w:val="FF0000"/>
        </w:rPr>
      </w:pPr>
    </w:p>
    <w:p w14:paraId="7F25C2F1" w14:textId="77777777" w:rsidR="00F43378" w:rsidRPr="00B82974" w:rsidRDefault="00114324" w:rsidP="00870D07">
      <w:pPr>
        <w:pStyle w:val="ListParagraph"/>
        <w:numPr>
          <w:ilvl w:val="3"/>
          <w:numId w:val="16"/>
        </w:numPr>
        <w:ind w:left="360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In Domestic Violence and Sex Offender cases, clients must have transitioned to a lower risk level per the </w:t>
      </w:r>
      <w:r w:rsidR="004A7CB4" w:rsidRPr="00B82974">
        <w:rPr>
          <w:rFonts w:ascii="Times New Roman" w:hAnsi="Times New Roman"/>
        </w:rPr>
        <w:t>Adult Case Management protocol</w:t>
      </w:r>
      <w:r w:rsidRPr="00B82974">
        <w:rPr>
          <w:rFonts w:ascii="Times New Roman" w:hAnsi="Times New Roman"/>
        </w:rPr>
        <w:t>.</w:t>
      </w:r>
    </w:p>
    <w:p w14:paraId="66B4A550" w14:textId="77777777" w:rsidR="00F43378" w:rsidRPr="00B82974" w:rsidRDefault="00F43378" w:rsidP="00F43378">
      <w:pPr>
        <w:pStyle w:val="ListParagraph"/>
        <w:ind w:left="1170"/>
        <w:rPr>
          <w:rFonts w:ascii="Times New Roman" w:hAnsi="Times New Roman"/>
        </w:rPr>
      </w:pPr>
    </w:p>
    <w:p w14:paraId="3B36E161" w14:textId="77777777" w:rsidR="00F43378" w:rsidRPr="00B82974" w:rsidRDefault="00F43378" w:rsidP="00B7011B">
      <w:pPr>
        <w:pStyle w:val="ListParagraph"/>
        <w:numPr>
          <w:ilvl w:val="0"/>
          <w:numId w:val="15"/>
        </w:numPr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>Prior to the petition for early discharge the probation officer will:</w:t>
      </w:r>
    </w:p>
    <w:p w14:paraId="43710E9E" w14:textId="77777777" w:rsidR="00B7011B" w:rsidRPr="00B82974" w:rsidRDefault="00B7011B" w:rsidP="00B7011B">
      <w:pPr>
        <w:pStyle w:val="ListParagraph"/>
        <w:ind w:left="2160"/>
        <w:rPr>
          <w:rFonts w:ascii="Times New Roman" w:hAnsi="Times New Roman"/>
        </w:rPr>
      </w:pPr>
    </w:p>
    <w:p w14:paraId="634AAF12" w14:textId="77777777" w:rsidR="00F43378" w:rsidRPr="00B82974" w:rsidRDefault="00F43378" w:rsidP="00B7011B">
      <w:pPr>
        <w:pStyle w:val="ListParagraph"/>
        <w:numPr>
          <w:ilvl w:val="1"/>
          <w:numId w:val="18"/>
        </w:numPr>
        <w:spacing w:after="0"/>
        <w:ind w:left="288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Prepare a discharge </w:t>
      </w:r>
      <w:r w:rsidR="00B82974" w:rsidRPr="00B82974">
        <w:rPr>
          <w:rFonts w:ascii="Times New Roman" w:hAnsi="Times New Roman"/>
        </w:rPr>
        <w:t>summary, which</w:t>
      </w:r>
      <w:r w:rsidRPr="00B82974">
        <w:rPr>
          <w:rFonts w:ascii="Times New Roman" w:hAnsi="Times New Roman"/>
        </w:rPr>
        <w:t xml:space="preserve"> includes a narrative of the </w:t>
      </w:r>
      <w:r w:rsidR="004A7CB4" w:rsidRPr="00B82974">
        <w:rPr>
          <w:rFonts w:ascii="Times New Roman" w:hAnsi="Times New Roman"/>
        </w:rPr>
        <w:t>individual’s</w:t>
      </w:r>
      <w:r w:rsidRPr="00B82974">
        <w:rPr>
          <w:rFonts w:ascii="Times New Roman" w:hAnsi="Times New Roman"/>
        </w:rPr>
        <w:t xml:space="preserve"> compliance with the probation order, treatment and programs completed to date, chemical testing results, a historical overview of incentives and sanctions applied, and their present risk level.  </w:t>
      </w:r>
    </w:p>
    <w:p w14:paraId="432B200D" w14:textId="77777777" w:rsidR="00B7011B" w:rsidRPr="00B82974" w:rsidRDefault="00B7011B" w:rsidP="00B7011B">
      <w:pPr>
        <w:pStyle w:val="ListParagraph"/>
        <w:spacing w:after="0"/>
        <w:ind w:left="2880"/>
        <w:rPr>
          <w:rFonts w:ascii="Times New Roman" w:hAnsi="Times New Roman"/>
        </w:rPr>
      </w:pPr>
    </w:p>
    <w:p w14:paraId="68797CBE" w14:textId="77777777" w:rsidR="00F43378" w:rsidRPr="00B82974" w:rsidRDefault="004A7CB4" w:rsidP="00B7011B">
      <w:pPr>
        <w:numPr>
          <w:ilvl w:val="0"/>
          <w:numId w:val="19"/>
        </w:numPr>
        <w:spacing w:after="0"/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>Individuals</w:t>
      </w:r>
      <w:r w:rsidR="00F43378" w:rsidRPr="00B82974">
        <w:rPr>
          <w:rFonts w:ascii="Times New Roman" w:hAnsi="Times New Roman"/>
        </w:rPr>
        <w:t xml:space="preserve"> in arrears on fines, fees, or restitution will not </w:t>
      </w:r>
      <w:r w:rsidR="00630E4B" w:rsidRPr="00B82974">
        <w:rPr>
          <w:rFonts w:ascii="Times New Roman" w:hAnsi="Times New Roman"/>
        </w:rPr>
        <w:t xml:space="preserve">be eligible for early discharge until such </w:t>
      </w:r>
      <w:r w:rsidRPr="00B82974">
        <w:rPr>
          <w:rFonts w:ascii="Times New Roman" w:hAnsi="Times New Roman"/>
        </w:rPr>
        <w:t xml:space="preserve">time </w:t>
      </w:r>
      <w:r w:rsidR="00630E4B" w:rsidRPr="00B82974">
        <w:rPr>
          <w:rFonts w:ascii="Times New Roman" w:hAnsi="Times New Roman"/>
        </w:rPr>
        <w:t>all financial obligations are paid up or off.</w:t>
      </w:r>
      <w:r w:rsidR="00F43378" w:rsidRPr="00B82974">
        <w:rPr>
          <w:rFonts w:ascii="Times New Roman" w:hAnsi="Times New Roman"/>
        </w:rPr>
        <w:t xml:space="preserve">  </w:t>
      </w:r>
    </w:p>
    <w:p w14:paraId="17B3860E" w14:textId="77777777" w:rsidR="00B7011B" w:rsidRPr="00B82974" w:rsidRDefault="00B7011B" w:rsidP="00B7011B">
      <w:pPr>
        <w:spacing w:after="0"/>
        <w:ind w:left="2160"/>
        <w:rPr>
          <w:rFonts w:ascii="Times New Roman" w:hAnsi="Times New Roman"/>
        </w:rPr>
      </w:pPr>
    </w:p>
    <w:p w14:paraId="5D2A7251" w14:textId="77777777" w:rsidR="00B7011B" w:rsidRPr="00B82974" w:rsidRDefault="00AA2325" w:rsidP="00B7011B">
      <w:pPr>
        <w:pStyle w:val="ListParagraph"/>
        <w:numPr>
          <w:ilvl w:val="0"/>
          <w:numId w:val="19"/>
        </w:numPr>
        <w:spacing w:after="0"/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When submitting the petition </w:t>
      </w:r>
      <w:r w:rsidR="00490A82" w:rsidRPr="00B82974">
        <w:rPr>
          <w:rFonts w:ascii="Times New Roman" w:hAnsi="Times New Roman"/>
        </w:rPr>
        <w:t xml:space="preserve">for early discharge on eligible </w:t>
      </w:r>
      <w:r w:rsidR="004A7CB4" w:rsidRPr="00B82974">
        <w:rPr>
          <w:rFonts w:ascii="Times New Roman" w:hAnsi="Times New Roman"/>
        </w:rPr>
        <w:t>individuals</w:t>
      </w:r>
      <w:r w:rsidR="00490A82" w:rsidRPr="00B82974">
        <w:rPr>
          <w:rFonts w:ascii="Times New Roman" w:hAnsi="Times New Roman"/>
        </w:rPr>
        <w:t xml:space="preserve"> the probation office</w:t>
      </w:r>
      <w:r w:rsidRPr="00B82974">
        <w:rPr>
          <w:rFonts w:ascii="Times New Roman" w:hAnsi="Times New Roman"/>
        </w:rPr>
        <w:t xml:space="preserve">r will </w:t>
      </w:r>
      <w:r w:rsidR="004A7CB4" w:rsidRPr="00B82974">
        <w:rPr>
          <w:rFonts w:ascii="Times New Roman" w:hAnsi="Times New Roman"/>
        </w:rPr>
        <w:t>submit the prepared</w:t>
      </w:r>
      <w:r w:rsidR="00490A82" w:rsidRPr="00B82974">
        <w:rPr>
          <w:rFonts w:ascii="Times New Roman" w:hAnsi="Times New Roman"/>
        </w:rPr>
        <w:t xml:space="preserve"> discharge summary detailing the reasons for the early release request, an order for early discharge, and a waiver request for the remainder of fees accrued </w:t>
      </w:r>
      <w:proofErr w:type="gramStart"/>
      <w:r w:rsidR="00490A82" w:rsidRPr="00B82974">
        <w:rPr>
          <w:rFonts w:ascii="Times New Roman" w:hAnsi="Times New Roman"/>
        </w:rPr>
        <w:t>subsequent to</w:t>
      </w:r>
      <w:proofErr w:type="gramEnd"/>
      <w:r w:rsidR="00490A82" w:rsidRPr="00B82974">
        <w:rPr>
          <w:rFonts w:ascii="Times New Roman" w:hAnsi="Times New Roman"/>
        </w:rPr>
        <w:t xml:space="preserve"> the original release date.</w:t>
      </w:r>
    </w:p>
    <w:p w14:paraId="40708636" w14:textId="77777777" w:rsidR="00B7011B" w:rsidRPr="00B82974" w:rsidRDefault="00B7011B" w:rsidP="00B7011B">
      <w:pPr>
        <w:spacing w:after="0"/>
        <w:rPr>
          <w:rFonts w:ascii="Times New Roman" w:hAnsi="Times New Roman"/>
        </w:rPr>
      </w:pPr>
    </w:p>
    <w:p w14:paraId="37D997F7" w14:textId="77777777" w:rsidR="006523E1" w:rsidRPr="00B82974" w:rsidRDefault="006523E1" w:rsidP="00B7011B">
      <w:pPr>
        <w:pStyle w:val="ListParagraph"/>
        <w:numPr>
          <w:ilvl w:val="0"/>
          <w:numId w:val="19"/>
        </w:numPr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Applicable victims shall be notified upon </w:t>
      </w:r>
      <w:proofErr w:type="gramStart"/>
      <w:r w:rsidRPr="00B82974">
        <w:rPr>
          <w:rFonts w:ascii="Times New Roman" w:hAnsi="Times New Roman"/>
        </w:rPr>
        <w:t>probation</w:t>
      </w:r>
      <w:proofErr w:type="gramEnd"/>
      <w:r w:rsidRPr="00B82974">
        <w:rPr>
          <w:rFonts w:ascii="Times New Roman" w:hAnsi="Times New Roman"/>
        </w:rPr>
        <w:t xml:space="preserve"> officer’s request for early release.</w:t>
      </w:r>
    </w:p>
    <w:p w14:paraId="31A7AA1C" w14:textId="77777777" w:rsidR="006523E1" w:rsidRPr="00B82974" w:rsidRDefault="006523E1" w:rsidP="006523E1">
      <w:pPr>
        <w:pStyle w:val="ListParagraph"/>
        <w:rPr>
          <w:rFonts w:ascii="Times New Roman" w:hAnsi="Times New Roman"/>
        </w:rPr>
      </w:pPr>
    </w:p>
    <w:p w14:paraId="0835C3AD" w14:textId="77777777" w:rsidR="00D14206" w:rsidRPr="00B82974" w:rsidRDefault="00D14206" w:rsidP="00B7011B">
      <w:pPr>
        <w:pStyle w:val="ListParagraph"/>
        <w:numPr>
          <w:ilvl w:val="0"/>
          <w:numId w:val="19"/>
        </w:numPr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Upon the determination by the Court of </w:t>
      </w:r>
      <w:proofErr w:type="gramStart"/>
      <w:r w:rsidRPr="00B82974">
        <w:rPr>
          <w:rFonts w:ascii="Times New Roman" w:hAnsi="Times New Roman"/>
        </w:rPr>
        <w:t>the approval</w:t>
      </w:r>
      <w:proofErr w:type="gramEnd"/>
      <w:r w:rsidRPr="00B82974">
        <w:rPr>
          <w:rFonts w:ascii="Times New Roman" w:hAnsi="Times New Roman"/>
        </w:rPr>
        <w:t xml:space="preserve"> or denial for early discharge, the probation office </w:t>
      </w:r>
      <w:r w:rsidR="00C473CA" w:rsidRPr="00B82974">
        <w:rPr>
          <w:rFonts w:ascii="Times New Roman" w:hAnsi="Times New Roman"/>
        </w:rPr>
        <w:t xml:space="preserve">will </w:t>
      </w:r>
      <w:r w:rsidRPr="00B82974">
        <w:rPr>
          <w:rFonts w:ascii="Times New Roman" w:hAnsi="Times New Roman"/>
        </w:rPr>
        <w:t>obtain a copy of the approved or denied order for early discharge</w:t>
      </w:r>
      <w:r w:rsidR="00070379" w:rsidRPr="00B82974">
        <w:rPr>
          <w:rFonts w:ascii="Times New Roman" w:hAnsi="Times New Roman"/>
        </w:rPr>
        <w:t xml:space="preserve"> and notify the </w:t>
      </w:r>
      <w:r w:rsidR="004A7CB4" w:rsidRPr="00B82974">
        <w:rPr>
          <w:rFonts w:ascii="Times New Roman" w:hAnsi="Times New Roman"/>
        </w:rPr>
        <w:t>individual</w:t>
      </w:r>
      <w:r w:rsidR="00070379" w:rsidRPr="00B82974">
        <w:rPr>
          <w:rFonts w:ascii="Times New Roman" w:hAnsi="Times New Roman"/>
        </w:rPr>
        <w:t xml:space="preserve"> of the Court’s decision</w:t>
      </w:r>
      <w:r w:rsidR="009577C1" w:rsidRPr="00B82974">
        <w:rPr>
          <w:rFonts w:ascii="Times New Roman" w:hAnsi="Times New Roman"/>
        </w:rPr>
        <w:t>.</w:t>
      </w:r>
    </w:p>
    <w:p w14:paraId="11A06C9D" w14:textId="77777777" w:rsidR="000E7FCB" w:rsidRPr="00B82974" w:rsidRDefault="000E7FCB" w:rsidP="000E7FCB">
      <w:pPr>
        <w:pStyle w:val="ListParagraph"/>
        <w:rPr>
          <w:rFonts w:ascii="Times New Roman" w:hAnsi="Times New Roman"/>
        </w:rPr>
      </w:pPr>
    </w:p>
    <w:p w14:paraId="52736F51" w14:textId="77777777" w:rsidR="000E7FCB" w:rsidRPr="00B82974" w:rsidRDefault="00B82974" w:rsidP="000E7FCB">
      <w:pPr>
        <w:pStyle w:val="ListParagraph"/>
        <w:numPr>
          <w:ilvl w:val="1"/>
          <w:numId w:val="19"/>
        </w:numPr>
        <w:ind w:left="2700" w:hanging="540"/>
        <w:rPr>
          <w:rFonts w:ascii="Times New Roman" w:hAnsi="Times New Roman"/>
        </w:rPr>
      </w:pPr>
      <w:r w:rsidRPr="00B82974">
        <w:rPr>
          <w:rFonts w:ascii="Times New Roman" w:hAnsi="Times New Roman"/>
        </w:rPr>
        <w:t>A</w:t>
      </w:r>
      <w:r w:rsidR="000E7FCB" w:rsidRPr="00B82974">
        <w:rPr>
          <w:rFonts w:ascii="Times New Roman" w:hAnsi="Times New Roman"/>
        </w:rPr>
        <w:t xml:space="preserve">ny fees paid in advance by the </w:t>
      </w:r>
      <w:r w:rsidR="004A7CB4" w:rsidRPr="00B82974">
        <w:rPr>
          <w:rFonts w:ascii="Times New Roman" w:hAnsi="Times New Roman"/>
        </w:rPr>
        <w:t>individual</w:t>
      </w:r>
      <w:r w:rsidR="000E7FCB" w:rsidRPr="00B82974">
        <w:rPr>
          <w:rFonts w:ascii="Times New Roman" w:hAnsi="Times New Roman"/>
        </w:rPr>
        <w:t xml:space="preserve"> </w:t>
      </w:r>
      <w:r w:rsidR="00DF72CF" w:rsidRPr="00B82974">
        <w:rPr>
          <w:rFonts w:ascii="Times New Roman" w:hAnsi="Times New Roman"/>
        </w:rPr>
        <w:t>will</w:t>
      </w:r>
      <w:r w:rsidR="000E7FCB" w:rsidRPr="00B82974">
        <w:rPr>
          <w:rFonts w:ascii="Times New Roman" w:hAnsi="Times New Roman"/>
        </w:rPr>
        <w:t xml:space="preserve"> be refunded by the Court. </w:t>
      </w:r>
    </w:p>
    <w:p w14:paraId="31825DAE" w14:textId="77777777" w:rsidR="00630E4B" w:rsidRPr="00B82974" w:rsidRDefault="00630E4B" w:rsidP="00B7011B">
      <w:pPr>
        <w:pStyle w:val="ListParagraph"/>
        <w:ind w:left="2160" w:hanging="720"/>
        <w:rPr>
          <w:rFonts w:ascii="Times New Roman" w:hAnsi="Times New Roman"/>
        </w:rPr>
      </w:pPr>
    </w:p>
    <w:p w14:paraId="71509B39" w14:textId="77777777" w:rsidR="00C76D03" w:rsidRPr="00B82974" w:rsidRDefault="00C76D03" w:rsidP="00B7011B">
      <w:pPr>
        <w:pStyle w:val="ListParagraph"/>
        <w:numPr>
          <w:ilvl w:val="0"/>
          <w:numId w:val="19"/>
        </w:numPr>
        <w:ind w:left="2160" w:hanging="720"/>
        <w:rPr>
          <w:rFonts w:ascii="Times New Roman" w:hAnsi="Times New Roman"/>
        </w:rPr>
      </w:pPr>
      <w:r w:rsidRPr="00B82974">
        <w:rPr>
          <w:rFonts w:ascii="Times New Roman" w:hAnsi="Times New Roman"/>
        </w:rPr>
        <w:t xml:space="preserve">The Request for Early Release and the Court’s decision shall be entered </w:t>
      </w:r>
      <w:proofErr w:type="gramStart"/>
      <w:r w:rsidRPr="00B82974">
        <w:rPr>
          <w:rFonts w:ascii="Times New Roman" w:hAnsi="Times New Roman"/>
        </w:rPr>
        <w:t>in</w:t>
      </w:r>
      <w:proofErr w:type="gramEnd"/>
      <w:r w:rsidRPr="00B82974">
        <w:rPr>
          <w:rFonts w:ascii="Times New Roman" w:hAnsi="Times New Roman"/>
        </w:rPr>
        <w:t xml:space="preserve"> the Nebraska Probation System’s Data Management Information </w:t>
      </w:r>
      <w:proofErr w:type="gramStart"/>
      <w:r w:rsidRPr="00B82974">
        <w:rPr>
          <w:rFonts w:ascii="Times New Roman" w:hAnsi="Times New Roman"/>
        </w:rPr>
        <w:t>System</w:t>
      </w:r>
      <w:proofErr w:type="gramEnd"/>
      <w:r w:rsidRPr="00B82974">
        <w:rPr>
          <w:rFonts w:ascii="Times New Roman" w:hAnsi="Times New Roman"/>
        </w:rPr>
        <w:t xml:space="preserve"> and </w:t>
      </w:r>
      <w:r w:rsidR="004A7CB4" w:rsidRPr="00B82974">
        <w:rPr>
          <w:rFonts w:ascii="Times New Roman" w:hAnsi="Times New Roman"/>
        </w:rPr>
        <w:t xml:space="preserve">the case shall be </w:t>
      </w:r>
      <w:r w:rsidRPr="00B82974">
        <w:rPr>
          <w:rFonts w:ascii="Times New Roman" w:hAnsi="Times New Roman"/>
        </w:rPr>
        <w:t>closed out as applicable.</w:t>
      </w:r>
    </w:p>
    <w:p w14:paraId="3C5FD0B2" w14:textId="77777777" w:rsidR="00C76D03" w:rsidRPr="006949E8" w:rsidRDefault="00C76D03" w:rsidP="00C76D03">
      <w:pPr>
        <w:pStyle w:val="ListParagraph"/>
        <w:rPr>
          <w:rFonts w:ascii="Times New Roman" w:hAnsi="Times New Roman"/>
        </w:rPr>
      </w:pPr>
    </w:p>
    <w:p w14:paraId="42D60139" w14:textId="77777777" w:rsidR="00C76D03" w:rsidRPr="006949E8" w:rsidRDefault="00C76D03" w:rsidP="00C76D03">
      <w:pPr>
        <w:rPr>
          <w:rFonts w:ascii="Times New Roman" w:hAnsi="Times New Roman"/>
        </w:rPr>
      </w:pPr>
    </w:p>
    <w:p w14:paraId="26F9C944" w14:textId="77777777" w:rsidR="00C76D03" w:rsidRPr="006949E8" w:rsidRDefault="00C76D03" w:rsidP="00C76D03">
      <w:pPr>
        <w:rPr>
          <w:rFonts w:ascii="Times New Roman" w:hAnsi="Times New Roman"/>
        </w:rPr>
      </w:pPr>
    </w:p>
    <w:p w14:paraId="57AAFC36" w14:textId="77777777" w:rsidR="00C76D03" w:rsidRPr="006949E8" w:rsidRDefault="00C76D03" w:rsidP="00C76D03">
      <w:pPr>
        <w:rPr>
          <w:rFonts w:ascii="Times New Roman" w:hAnsi="Times New Roman"/>
        </w:rPr>
      </w:pPr>
    </w:p>
    <w:p w14:paraId="559A7A88" w14:textId="77777777" w:rsidR="00C76D03" w:rsidRPr="006949E8" w:rsidRDefault="00C76D03" w:rsidP="00C76D03">
      <w:pPr>
        <w:rPr>
          <w:rFonts w:ascii="Times New Roman" w:hAnsi="Times New Roman"/>
        </w:rPr>
      </w:pPr>
    </w:p>
    <w:p w14:paraId="225BA839" w14:textId="77777777" w:rsidR="00C76D03" w:rsidRPr="006949E8" w:rsidRDefault="00C76D03" w:rsidP="00C76D03">
      <w:pPr>
        <w:rPr>
          <w:rFonts w:ascii="Times New Roman" w:hAnsi="Times New Roman"/>
        </w:rPr>
      </w:pPr>
    </w:p>
    <w:p w14:paraId="31514D01" w14:textId="77777777" w:rsidR="006D3CA7" w:rsidRPr="00714E7E" w:rsidRDefault="006D3CA7" w:rsidP="00870D07">
      <w:pPr>
        <w:rPr>
          <w:rFonts w:ascii="Times New Roman" w:hAnsi="Times New Roman"/>
          <w:sz w:val="24"/>
          <w:szCs w:val="24"/>
        </w:rPr>
      </w:pPr>
    </w:p>
    <w:sectPr w:rsidR="006D3CA7" w:rsidRPr="00714E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E843" w14:textId="77777777" w:rsidR="00794ED4" w:rsidRDefault="00794ED4" w:rsidP="00B01972">
      <w:pPr>
        <w:spacing w:after="0" w:line="240" w:lineRule="auto"/>
      </w:pPr>
      <w:r>
        <w:separator/>
      </w:r>
    </w:p>
  </w:endnote>
  <w:endnote w:type="continuationSeparator" w:id="0">
    <w:p w14:paraId="61E030E3" w14:textId="77777777" w:rsidR="00794ED4" w:rsidRDefault="00794ED4" w:rsidP="00B0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2D04" w14:textId="77777777" w:rsidR="006949E8" w:rsidRDefault="006949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974">
      <w:rPr>
        <w:noProof/>
      </w:rPr>
      <w:t>1</w:t>
    </w:r>
    <w:r>
      <w:rPr>
        <w:noProof/>
      </w:rPr>
      <w:fldChar w:fldCharType="end"/>
    </w:r>
  </w:p>
  <w:p w14:paraId="6634C6E5" w14:textId="77777777" w:rsidR="00B01972" w:rsidRDefault="00B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D4F9" w14:textId="77777777" w:rsidR="00794ED4" w:rsidRDefault="00794ED4" w:rsidP="00B01972">
      <w:pPr>
        <w:spacing w:after="0" w:line="240" w:lineRule="auto"/>
      </w:pPr>
      <w:r>
        <w:separator/>
      </w:r>
    </w:p>
  </w:footnote>
  <w:footnote w:type="continuationSeparator" w:id="0">
    <w:p w14:paraId="14703B01" w14:textId="77777777" w:rsidR="00794ED4" w:rsidRDefault="00794ED4" w:rsidP="00B0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7A0"/>
    <w:multiLevelType w:val="hybridMultilevel"/>
    <w:tmpl w:val="AC7A58D4"/>
    <w:lvl w:ilvl="0" w:tplc="CD6A0C7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F0BEC"/>
    <w:multiLevelType w:val="hybridMultilevel"/>
    <w:tmpl w:val="FBD6F87E"/>
    <w:lvl w:ilvl="0" w:tplc="7D4E9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36CD0"/>
    <w:multiLevelType w:val="hybridMultilevel"/>
    <w:tmpl w:val="AABA1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579F"/>
    <w:multiLevelType w:val="hybridMultilevel"/>
    <w:tmpl w:val="5BDECD18"/>
    <w:lvl w:ilvl="0" w:tplc="F31AB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55A57"/>
    <w:multiLevelType w:val="hybridMultilevel"/>
    <w:tmpl w:val="C66CA91C"/>
    <w:lvl w:ilvl="0" w:tplc="74D0B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E391A"/>
    <w:multiLevelType w:val="hybridMultilevel"/>
    <w:tmpl w:val="A9FCC54E"/>
    <w:lvl w:ilvl="0" w:tplc="C8C6C6F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37C3F"/>
    <w:multiLevelType w:val="hybridMultilevel"/>
    <w:tmpl w:val="B790AF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50948"/>
    <w:multiLevelType w:val="hybridMultilevel"/>
    <w:tmpl w:val="FD72CCE4"/>
    <w:lvl w:ilvl="0" w:tplc="07326C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3E1C4C"/>
    <w:multiLevelType w:val="hybridMultilevel"/>
    <w:tmpl w:val="3F669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A4F77"/>
    <w:multiLevelType w:val="hybridMultilevel"/>
    <w:tmpl w:val="B74EC97E"/>
    <w:lvl w:ilvl="0" w:tplc="B7E2F8A8">
      <w:start w:val="1"/>
      <w:numFmt w:val="upperLetter"/>
      <w:lvlText w:val="(%1)"/>
      <w:lvlJc w:val="left"/>
      <w:pPr>
        <w:ind w:left="1080" w:hanging="360"/>
      </w:pPr>
      <w:rPr>
        <w:rFonts w:ascii="Calibri" w:eastAsia="Calibri" w:hAnsi="Calibri" w:cs="Arial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8736E"/>
    <w:multiLevelType w:val="hybridMultilevel"/>
    <w:tmpl w:val="7AFA5690"/>
    <w:lvl w:ilvl="0" w:tplc="AB86B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D3EA6"/>
    <w:multiLevelType w:val="hybridMultilevel"/>
    <w:tmpl w:val="9F86609A"/>
    <w:lvl w:ilvl="0" w:tplc="880EEE8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5841"/>
    <w:multiLevelType w:val="hybridMultilevel"/>
    <w:tmpl w:val="E32A6714"/>
    <w:lvl w:ilvl="0" w:tplc="FC828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F118A"/>
    <w:multiLevelType w:val="hybridMultilevel"/>
    <w:tmpl w:val="2B5CF4FA"/>
    <w:lvl w:ilvl="0" w:tplc="A9E4279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B0FFD"/>
    <w:multiLevelType w:val="hybridMultilevel"/>
    <w:tmpl w:val="01DE0FA4"/>
    <w:lvl w:ilvl="0" w:tplc="E18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AC0E02"/>
    <w:multiLevelType w:val="hybridMultilevel"/>
    <w:tmpl w:val="A58441CC"/>
    <w:lvl w:ilvl="0" w:tplc="7564E39C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520" w:hanging="180"/>
      </w:pPr>
      <w:rPr>
        <w:rFonts w:hint="default"/>
      </w:rPr>
    </w:lvl>
    <w:lvl w:ilvl="3" w:tplc="9C24B728">
      <w:start w:val="1"/>
      <w:numFmt w:val="lowerRoman"/>
      <w:lvlText w:val="%4."/>
      <w:lvlJc w:val="righ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DE6F26"/>
    <w:multiLevelType w:val="hybridMultilevel"/>
    <w:tmpl w:val="91F04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653C"/>
    <w:multiLevelType w:val="hybridMultilevel"/>
    <w:tmpl w:val="73EC8124"/>
    <w:lvl w:ilvl="0" w:tplc="B7E2F8A8">
      <w:start w:val="1"/>
      <w:numFmt w:val="upperLetter"/>
      <w:lvlText w:val="(%1)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F47CDA"/>
    <w:multiLevelType w:val="hybridMultilevel"/>
    <w:tmpl w:val="0F184F5A"/>
    <w:lvl w:ilvl="0" w:tplc="129671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4554E1"/>
    <w:multiLevelType w:val="hybridMultilevel"/>
    <w:tmpl w:val="1D4E7D1C"/>
    <w:lvl w:ilvl="0" w:tplc="B7E2F8A8">
      <w:start w:val="1"/>
      <w:numFmt w:val="upperLetter"/>
      <w:lvlText w:val="(%1)"/>
      <w:lvlJc w:val="left"/>
      <w:pPr>
        <w:ind w:left="1080" w:hanging="360"/>
      </w:pPr>
      <w:rPr>
        <w:rFonts w:ascii="Calibri" w:eastAsia="Calibri" w:hAnsi="Calibri" w:cs="Arial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3545004">
    <w:abstractNumId w:val="2"/>
  </w:num>
  <w:num w:numId="2" w16cid:durableId="163017171">
    <w:abstractNumId w:val="3"/>
  </w:num>
  <w:num w:numId="3" w16cid:durableId="198592803">
    <w:abstractNumId w:val="8"/>
  </w:num>
  <w:num w:numId="4" w16cid:durableId="2084327278">
    <w:abstractNumId w:val="17"/>
  </w:num>
  <w:num w:numId="5" w16cid:durableId="1829439626">
    <w:abstractNumId w:val="5"/>
  </w:num>
  <w:num w:numId="6" w16cid:durableId="1175923556">
    <w:abstractNumId w:val="4"/>
  </w:num>
  <w:num w:numId="7" w16cid:durableId="1187134737">
    <w:abstractNumId w:val="14"/>
  </w:num>
  <w:num w:numId="8" w16cid:durableId="6450726">
    <w:abstractNumId w:val="1"/>
  </w:num>
  <w:num w:numId="9" w16cid:durableId="1730110550">
    <w:abstractNumId w:val="15"/>
  </w:num>
  <w:num w:numId="10" w16cid:durableId="335694716">
    <w:abstractNumId w:val="0"/>
  </w:num>
  <w:num w:numId="11" w16cid:durableId="129637546">
    <w:abstractNumId w:val="10"/>
  </w:num>
  <w:num w:numId="12" w16cid:durableId="1602492725">
    <w:abstractNumId w:val="13"/>
  </w:num>
  <w:num w:numId="13" w16cid:durableId="967392553">
    <w:abstractNumId w:val="11"/>
  </w:num>
  <w:num w:numId="14" w16cid:durableId="256794952">
    <w:abstractNumId w:val="16"/>
  </w:num>
  <w:num w:numId="15" w16cid:durableId="1631745030">
    <w:abstractNumId w:val="18"/>
  </w:num>
  <w:num w:numId="16" w16cid:durableId="1543663809">
    <w:abstractNumId w:val="9"/>
  </w:num>
  <w:num w:numId="17" w16cid:durableId="1602370159">
    <w:abstractNumId w:val="6"/>
  </w:num>
  <w:num w:numId="18" w16cid:durableId="2082675091">
    <w:abstractNumId w:val="19"/>
  </w:num>
  <w:num w:numId="19" w16cid:durableId="1397898023">
    <w:abstractNumId w:val="7"/>
  </w:num>
  <w:num w:numId="20" w16cid:durableId="1959023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40"/>
    <w:rsid w:val="00021579"/>
    <w:rsid w:val="000431C3"/>
    <w:rsid w:val="00070379"/>
    <w:rsid w:val="000A0FAF"/>
    <w:rsid w:val="000E0211"/>
    <w:rsid w:val="000E378C"/>
    <w:rsid w:val="000E7FCB"/>
    <w:rsid w:val="00114324"/>
    <w:rsid w:val="00132BEE"/>
    <w:rsid w:val="00164DD9"/>
    <w:rsid w:val="001710D4"/>
    <w:rsid w:val="001A2F08"/>
    <w:rsid w:val="001F3638"/>
    <w:rsid w:val="002202B9"/>
    <w:rsid w:val="00221F63"/>
    <w:rsid w:val="0024273D"/>
    <w:rsid w:val="00257FFB"/>
    <w:rsid w:val="002A1C9B"/>
    <w:rsid w:val="003044EF"/>
    <w:rsid w:val="0031571F"/>
    <w:rsid w:val="00324882"/>
    <w:rsid w:val="00326370"/>
    <w:rsid w:val="00332649"/>
    <w:rsid w:val="00363577"/>
    <w:rsid w:val="003742BE"/>
    <w:rsid w:val="003871D1"/>
    <w:rsid w:val="0039011E"/>
    <w:rsid w:val="003D399B"/>
    <w:rsid w:val="004078B7"/>
    <w:rsid w:val="00410E1B"/>
    <w:rsid w:val="0041316A"/>
    <w:rsid w:val="00454259"/>
    <w:rsid w:val="00474C7E"/>
    <w:rsid w:val="00490A82"/>
    <w:rsid w:val="004945C9"/>
    <w:rsid w:val="004A7CB4"/>
    <w:rsid w:val="004D695E"/>
    <w:rsid w:val="004D6B0D"/>
    <w:rsid w:val="004F04C2"/>
    <w:rsid w:val="00510B7F"/>
    <w:rsid w:val="00591391"/>
    <w:rsid w:val="00591C9F"/>
    <w:rsid w:val="005D18F2"/>
    <w:rsid w:val="005D2828"/>
    <w:rsid w:val="005F24E2"/>
    <w:rsid w:val="005F607A"/>
    <w:rsid w:val="0062476D"/>
    <w:rsid w:val="00630E4B"/>
    <w:rsid w:val="00637D10"/>
    <w:rsid w:val="006523E1"/>
    <w:rsid w:val="006949E8"/>
    <w:rsid w:val="006B43E4"/>
    <w:rsid w:val="006B5AFE"/>
    <w:rsid w:val="006C09A3"/>
    <w:rsid w:val="006C390A"/>
    <w:rsid w:val="006D0665"/>
    <w:rsid w:val="006D3CA7"/>
    <w:rsid w:val="006E4464"/>
    <w:rsid w:val="00714E7E"/>
    <w:rsid w:val="00715705"/>
    <w:rsid w:val="00717EEC"/>
    <w:rsid w:val="0073766C"/>
    <w:rsid w:val="007663E8"/>
    <w:rsid w:val="00774A52"/>
    <w:rsid w:val="007804FE"/>
    <w:rsid w:val="00792B34"/>
    <w:rsid w:val="00794ED4"/>
    <w:rsid w:val="007E001A"/>
    <w:rsid w:val="007F5B66"/>
    <w:rsid w:val="00803DF0"/>
    <w:rsid w:val="008125F7"/>
    <w:rsid w:val="00831D51"/>
    <w:rsid w:val="00842006"/>
    <w:rsid w:val="008571F5"/>
    <w:rsid w:val="00870D07"/>
    <w:rsid w:val="00886D01"/>
    <w:rsid w:val="00893085"/>
    <w:rsid w:val="008B5022"/>
    <w:rsid w:val="00917DD4"/>
    <w:rsid w:val="0094552C"/>
    <w:rsid w:val="00946060"/>
    <w:rsid w:val="009577C1"/>
    <w:rsid w:val="009B06E5"/>
    <w:rsid w:val="009C45B8"/>
    <w:rsid w:val="009D0316"/>
    <w:rsid w:val="00A4220E"/>
    <w:rsid w:val="00A70EB5"/>
    <w:rsid w:val="00A87D2C"/>
    <w:rsid w:val="00A92AFA"/>
    <w:rsid w:val="00AA2325"/>
    <w:rsid w:val="00AA3633"/>
    <w:rsid w:val="00B01972"/>
    <w:rsid w:val="00B02140"/>
    <w:rsid w:val="00B32577"/>
    <w:rsid w:val="00B52F31"/>
    <w:rsid w:val="00B67E13"/>
    <w:rsid w:val="00B7011B"/>
    <w:rsid w:val="00B82974"/>
    <w:rsid w:val="00B95B7A"/>
    <w:rsid w:val="00BE6DF9"/>
    <w:rsid w:val="00C01A9B"/>
    <w:rsid w:val="00C473CA"/>
    <w:rsid w:val="00C76D03"/>
    <w:rsid w:val="00CC0951"/>
    <w:rsid w:val="00D14206"/>
    <w:rsid w:val="00D6177C"/>
    <w:rsid w:val="00D6628F"/>
    <w:rsid w:val="00D8225A"/>
    <w:rsid w:val="00D90243"/>
    <w:rsid w:val="00DB683F"/>
    <w:rsid w:val="00DB79EF"/>
    <w:rsid w:val="00DC6930"/>
    <w:rsid w:val="00DF72CF"/>
    <w:rsid w:val="00DF7B03"/>
    <w:rsid w:val="00E27ADC"/>
    <w:rsid w:val="00E37F70"/>
    <w:rsid w:val="00E549E5"/>
    <w:rsid w:val="00E602D9"/>
    <w:rsid w:val="00E80D89"/>
    <w:rsid w:val="00E92769"/>
    <w:rsid w:val="00E943CD"/>
    <w:rsid w:val="00EB1234"/>
    <w:rsid w:val="00EC326D"/>
    <w:rsid w:val="00EF6F4B"/>
    <w:rsid w:val="00F17950"/>
    <w:rsid w:val="00F20AFD"/>
    <w:rsid w:val="00F21ABC"/>
    <w:rsid w:val="00F40128"/>
    <w:rsid w:val="00F43378"/>
    <w:rsid w:val="00F524AD"/>
    <w:rsid w:val="00F72B1E"/>
    <w:rsid w:val="00F8545C"/>
    <w:rsid w:val="00F9343B"/>
    <w:rsid w:val="00F978DB"/>
    <w:rsid w:val="00FE4EAD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567358"/>
  <w15:chartTrackingRefBased/>
  <w15:docId w15:val="{C29B9275-0190-4CE1-8F5E-7A3978E9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972"/>
  </w:style>
  <w:style w:type="paragraph" w:styleId="Footer">
    <w:name w:val="footer"/>
    <w:basedOn w:val="Normal"/>
    <w:link w:val="FooterChar"/>
    <w:uiPriority w:val="99"/>
    <w:unhideWhenUsed/>
    <w:rsid w:val="00B0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972"/>
  </w:style>
  <w:style w:type="paragraph" w:styleId="BalloonText">
    <w:name w:val="Balloon Text"/>
    <w:basedOn w:val="Normal"/>
    <w:link w:val="BalloonTextChar"/>
    <w:uiPriority w:val="99"/>
    <w:semiHidden/>
    <w:unhideWhenUsed/>
    <w:rsid w:val="00B9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5B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433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9767-95CA-4C72-94CE-110F44F1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2497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Nordmeyer</dc:creator>
  <cp:keywords/>
  <dc:description/>
  <cp:lastModifiedBy>Ben Johnson</cp:lastModifiedBy>
  <cp:revision>2</cp:revision>
  <cp:lastPrinted>2015-06-18T13:31:00Z</cp:lastPrinted>
  <dcterms:created xsi:type="dcterms:W3CDTF">2026-01-26T21:19:00Z</dcterms:created>
  <dcterms:modified xsi:type="dcterms:W3CDTF">2026-01-26T21:19:00Z</dcterms:modified>
</cp:coreProperties>
</file>